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4.jpg" ContentType="image/jpeg"/>
  <Override PartName="/word/media/rId65.jpg" ContentType="image/jpeg"/>
  <Override PartName="/word/media/rId68.jpg" ContentType="image/jpeg"/>
  <Override PartName="/word/media/rId69.jpg" ContentType="image/jpeg"/>
  <Override PartName="/word/media/rId67.jpg" ContentType="image/jpeg"/>
  <Override PartName="/word/media/rId66.jpg" ContentType="image/jpeg"/>
  <Override PartName="/word/media/rId73.jpg" ContentType="image/jpeg"/>
  <Override PartName="/word/media/rId70.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nutrient-rich</w:t>
      </w:r>
      <w:r>
        <w:t xml:space="preserve"> </w:t>
      </w:r>
      <w:r>
        <w:t xml:space="preserve">Piney</w:t>
      </w:r>
      <w:r>
        <w:t xml:space="preserve"> </w:t>
      </w:r>
      <w:r>
        <w:t xml:space="preserve">Point</w:t>
      </w:r>
      <w:r>
        <w:t xml:space="preserve"> </w:t>
      </w:r>
      <w:r>
        <w:t xml:space="preserve">release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Yonggang</w:t>
      </w:r>
      <w:r>
        <w:t xml:space="preserve"> </w:t>
      </w:r>
      <w:r>
        <w:t xml:space="preserve">Liu</w:t>
      </w:r>
      <w:r>
        <w:t xml:space="preserve"> </w:t>
      </w:r>
      <w:r>
        <w:t xml:space="preserve">(</w:t>
      </w:r>
      <w:hyperlink r:id="rId27">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28">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29">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0">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1">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2">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3">
        <w:r>
          <w:rPr>
            <w:rStyle w:val="Hyperlink"/>
          </w:rPr>
          <w:t xml:space="preserve">sscolaro@tbep.org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4">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5">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6">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37">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38">
        <w:r>
          <w:rPr>
            <w:rStyle w:val="Hyperlink"/>
          </w:rPr>
          <w:t xml:space="preserve">jwhalen@tbep.org</w:t>
        </w:r>
      </w:hyperlink>
      <w:r>
        <w:t xml:space="preserve">)</w:t>
      </w:r>
    </w:p>
    <w:p>
      <w:pPr>
        <w:pStyle w:val="FirstParagraph"/>
      </w:pPr>
      <w:r>
        <w:t xml:space="preserve">Last manuscript build 2021-12-01 11:44:57</w:t>
      </w:r>
    </w:p>
    <w:bookmarkStart w:id="39" w:name="abstract"/>
    <w:p>
      <w:pPr>
        <w:pStyle w:val="Heading1"/>
      </w:pPr>
      <w:r>
        <w:t xml:space="preserve">Abstract</w:t>
      </w:r>
    </w:p>
    <w:p>
      <w:pPr>
        <w:pStyle w:val="FirstParagraph"/>
      </w:pPr>
      <w:r>
        <w:t xml:space="preserve">From March 30th to April 9th, 2021, 814 million liters of mixed legacy phosphate mining wastewater and marine dredge water from the Piney Point facility were released into Tampa Bay (Florida, USA). An estimated 186 metric tons of total nitrogen were exported to the Bay, exceeding typical annual external nitrogen loads in a matter of days. Elevated levels of phytoplankton (non-harmful diatoms) were observed in the nearshore regions of the lower Bay. Filamentous cyanobacteria blooms (</w:t>
      </w:r>
      <w:r>
        <w:rPr>
          <w:iCs/>
          <w:i/>
        </w:rPr>
        <w:t xml:space="preserve">Dapis</w:t>
      </w:r>
      <w:r>
        <w:t xml:space="preserve"> </w:t>
      </w:r>
      <w:r>
        <w:t xml:space="preserve">spp.) peaked in June, followed by blooms of the red tide organism</w:t>
      </w:r>
      <w:r>
        <w:t xml:space="preserve"> </w:t>
      </w:r>
      <w:r>
        <w:rPr>
          <w:iCs/>
          <w:i/>
        </w:rPr>
        <w:t xml:space="preserve">Karenia brevis</w:t>
      </w:r>
      <w:r>
        <w:t xml:space="preserve">. Reported fish kills tracked</w:t>
      </w:r>
      <w:r>
        <w:t xml:space="preserve"> </w:t>
      </w:r>
      <w:r>
        <w:rPr>
          <w:iCs/>
          <w:i/>
        </w:rPr>
        <w:t xml:space="preserve">K. brevis</w:t>
      </w:r>
      <w:r>
        <w:t xml:space="preserve"> </w:t>
      </w:r>
      <w:r>
        <w:t xml:space="preserve">concentrations, prompting cleanup of over 1600 metric tons of dead fish. Seagrass resources showed minimal changes over the study period. By comparing these results to decades of baseline environmental monitoring data, we conclude that many of the biological responses, observed after the release from Piney Point, are abnormal relative to historic conditions.</w:t>
      </w:r>
    </w:p>
    <w:p>
      <w:pPr>
        <w:pStyle w:val="BodyText"/>
      </w:pPr>
      <w:r>
        <w:rPr>
          <w:iCs/>
          <w:i/>
        </w:rPr>
        <w:t xml:space="preserve">Key words</w:t>
      </w:r>
      <w:r>
        <w:t xml:space="preserve">: eutrophication, macroalgae, nitrogen, phosphate mining, seagrass, Tampa Bay</w:t>
      </w:r>
    </w:p>
    <w:bookmarkEnd w:id="39"/>
    <w:bookmarkStart w:id="41"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This waste is typically stored on-site in large earthen stacks (gypstacks) capable of holding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those of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related stressors (e.g., heavy precipitation events) have reduced the capacity of these facilities to maintain water on site. Environmental and human health risks associated with these stacks can occur through controlled or uncontrolled releases to surface waters or groundwater contamination through leaching from unlined or poorly maintained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Ongoing threats and challenges to protecting water quality of northern Gulf of Mexico estuaries persist despite recent environmental recovery. Successful restoration has been accomplished through ecosystem management paradigms that are based primarily on the control of nutrient pollutants from atmospheric deposition, stormwater, and wastewater. Nitrogen inputs from external sources are well understood as drivers of algal blooms in coastal environments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valuable habitat-defining species that provide many ecosystem services, but are especially vulnerable to the impacts of nutrient pollution on water quality because of cascading effects of nitrogen, phytoplankton growth, water clarity, light limitation, and epiphytic growth that can eliminate seagrass from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(e.g., Tampa Bay, Sarasota Bay, Charlotte Harbor)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The three contiguous National Estuary Programs of southwest Florida and their partners have been instrumental in coordinating efforts to address legacy pollutants and current threats to the long-term protection of estuarine resources.</w:t>
      </w:r>
    </w:p>
    <w:p>
      <w:pPr>
        <w:pStyle w:val="BodyText"/>
      </w:pPr>
      <w:r>
        <w:t xml:space="preserve">The geology of central Florida is rich in phosphates that have supported a multi-billion dollar mining industry for fertilizer to support agricultural production in other countries</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exist in the Tampa Bay watershed.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w:t>
      </w:r>
      <w:r>
        <w:t xml:space="preserve"> </w:t>
      </w:r>
      <w:r>
        <w:t xml:space="preserve">(see supplement for a history of the facility,</w:t>
      </w:r>
      <w:r>
        <w:t xml:space="preserve"> </w:t>
      </w:r>
      <w:hyperlink w:anchor="ref-Henderson04">
        <w:r>
          <w:rPr>
            <w:rStyle w:val="Hyperlink"/>
          </w:rPr>
          <w:t xml:space="preserve">Henderson, 2004</w:t>
        </w:r>
      </w:hyperlink>
      <w:r>
        <w:t xml:space="preserve">)</w:t>
      </w:r>
      <w:r>
        <w:t xml:space="preserve">. Holding capacity of the ponds has decreased over time from seasonal rain events, tropical storms, and storage of dredging material from nearby Port Manatee. Unanticipated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leakages were detected from a tear in the plastic liner of the southern holding pond (NGS-S) at Piney Point. In response, the Florida Department of Environmental Protection (FDEP) authorized an</w:t>
      </w:r>
      <w:r>
        <w:t xml:space="preserve"> </w:t>
      </w:r>
      <w:hyperlink r:id="rId40">
        <w:r>
          <w:rPr>
            <w:rStyle w:val="Hyperlink"/>
          </w:rPr>
          <w:t xml:space="preserve">emergency order</w:t>
        </w:r>
      </w:hyperlink>
      <w:r>
        <w:t xml:space="preserve"> </w:t>
      </w:r>
      <w:r>
        <w:t xml:space="preserve">on March 29th, 2021 to release water from the southern gypstack directly into lower Tampa Bay to prevent catastrophic failure of the facility. At that time, approximately 1.8 billion liters of mix legacy phosphate mining wastewater and seawater from port dredging operations was being held in the failing gypstack. Water quality parameters of NGS-S measured in 2019 were well above baseline conditions typical of surface waters in Tampa Bay, particularly for total phosphorus (160 mg/L) and total nitrogen (230 mg/L). From March 30th to April 9th, approximately 814 million liters (215 million gallons) of stack 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six months following the recent release of legacy phosphate mining wastewater from March 30th to April 9th,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We focus on nitrogen inputs as the identified limiting nutrient for Tampa Bay and its potential to create water quality conditions unfavorable for seagrass growth due to enhanced algal production. A timeline of events in 2021 is provided, which is supported by the quantitative results from 2021 response-based monitoring of conditions in and around Port Manatee, FL – the focal point of emergency releases from the Piney Point facility. The results from this paper provide examples of anticipated short-term responses to acute nutrient loadings from legacy mining facilities in the broader context of historical conditions that may influence system response to these events.</w:t>
      </w:r>
    </w:p>
    <w:bookmarkEnd w:id="41"/>
    <w:bookmarkStart w:id="47" w:name="methods"/>
    <w:p>
      <w:pPr>
        <w:pStyle w:val="Heading1"/>
      </w:pPr>
      <w:r>
        <w:t xml:space="preserve">Methods</w:t>
      </w:r>
    </w:p>
    <w:bookmarkStart w:id="43" w:name="X6cb48ba5b9b5b982f6ba48c046d469fe28fe141"/>
    <w:p>
      <w:pPr>
        <w:pStyle w:val="Heading2"/>
      </w:pPr>
      <w:r>
        <w:t xml:space="preserve">Monitoring response to the emergency release</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(Y. Liu, R.H. Weisberg, J. Chen, Y. Sun, personal communication) served as the principal guidance for coordinating the data collection during the event.</w:t>
      </w:r>
    </w:p>
    <w:p>
      <w:pPr>
        <w:pStyle w:val="BodyText"/>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 In short, water quality parameters included discrete, laboratory-processed and</w:t>
      </w:r>
      <w:r>
        <w:t xml:space="preserve"> </w:t>
      </w:r>
      <w:r>
        <w:rPr>
          <w:iCs/>
          <w:i/>
        </w:rPr>
        <w:t xml:space="preserve">in situ</w:t>
      </w:r>
      <w:r>
        <w:t xml:space="preserve"> </w:t>
      </w:r>
      <w:r>
        <w:t xml:space="preserve">samples for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chlorophyll-a (ug/L), pH, salinity (psu), temperature (C), and dissolved oxygen saturation (%). Most samples were surface collections by boat, with sample frequency approximately biweekly for locations around Piney Point. Phytoplankton samples included a mix of quantitative (cells/l) and qualitative (presence/absence) samples for major taxa at similar frequency and spatial distribution as the water quality samples. Seagrass and macroalgae sampling occurred approximately biweekly at 38 transects using a modified rapid assessment design following the</w:t>
      </w:r>
      <w:r>
        <w:t xml:space="preserve"> </w:t>
      </w:r>
      <w:r>
        <w:t xml:space="preserve">“</w:t>
      </w:r>
      <w:hyperlink r:id="rId42">
        <w:r>
          <w:rPr>
            <w:rStyle w:val="Hyperlink"/>
          </w:rPr>
          <w:t xml:space="preserve">Eyes on Seagrass</w:t>
        </w:r>
      </w:hyperlink>
      <w:r>
        <w:t xml:space="preserve">”</w:t>
      </w:r>
      <w:r>
        <w:t xml:space="preserve"> </w:t>
      </w:r>
      <w:r>
        <w:t xml:space="preserve">method developed by a local citizen science group in cooperation with academic and federal partners. Details of the sampling methods are provided in supplement.</w:t>
      </w:r>
    </w:p>
    <w:bookmarkEnd w:id="43"/>
    <w:bookmarkStart w:id="46"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44">
        <w:r>
          <w:rPr>
            <w:rStyle w:val="Hyperlink"/>
          </w:rPr>
          <w:t xml:space="preserve">https://wateratlas.usf.edu/</w:t>
        </w:r>
      </w:hyperlink>
      <w:r>
        <w:t xml:space="preserve">)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programmatic goals).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45">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evaluated only on total nitrogen (TN), chlorophyll-a (chl-a), and Secchi disk depth as a general analysis of potential patterns in eutrophication in nitrogen-limited systems. Observations for each data type were typically aggregated to the weekly or monthly scale given that sampling occurred on different days during the six month period.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For statistical tests using water quality data, only the monitoring results from FDEP were used for analysis given the consistency of sample location and collection dates. For censored data (i.e., above or below detection), Secchi observations that were visually identified on the bottom (71 of 431 observations in the FDEP data) were removed from analysis, whereas all other non-detects that were below laboratory standards of detection were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Methods to accommodate measured concentrations of water quality variables that were below detection were used that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w:t>
      </w:r>
    </w:p>
    <w:bookmarkEnd w:id="46"/>
    <w:bookmarkEnd w:id="47"/>
    <w:bookmarkStart w:id="54" w:name="results"/>
    <w:p>
      <w:pPr>
        <w:pStyle w:val="Heading1"/>
      </w:pPr>
      <w:r>
        <w:t xml:space="preserve">Results</w:t>
      </w:r>
    </w:p>
    <w:bookmarkStart w:id="48" w:name="X8daf6efacee16b481d2b66dc77fff19e3d58ec0"/>
    <w:p>
      <w:pPr>
        <w:pStyle w:val="Heading2"/>
      </w:pPr>
      <w:r>
        <w:t xml:space="preserve">Timeline of 2021 biological response events</w:t>
      </w:r>
    </w:p>
    <w:p>
      <w:pPr>
        <w:pStyle w:val="FirstParagraph"/>
      </w:pPr>
      <w:r>
        <w:t xml:space="preserve">A general summary of 2021 events in Tampa Bay following discharge from Piney Point is shown in Figure</w:t>
      </w:r>
      <w:r>
        <w:t xml:space="preserve"> </w:t>
      </w:r>
      <w:r>
        <w:t xml:space="preserve">2</w:t>
      </w:r>
      <w:r>
        <w:t xml:space="preserve">. After the discharge ceased on April 9th, a peak in median chl-a concentration was observed near Piney Point (Area 1, Figure</w:t>
      </w:r>
      <w:r>
        <w:t xml:space="preserve"> </w:t>
      </w:r>
      <w:r>
        <w:t xml:space="preserve">1</w:t>
      </w:r>
      <w:r>
        <w:t xml:space="preserve">a) mid-April, with peak individual sample values in excess of 50 ug/L. Median concentrations for each week in April were less than 10 ug/L. The discharge phytoplankton biomass was comprised of over 99% of a spherical nanoplanktonic chlorophyte, with density of 337 x 10</w:t>
      </w:r>
      <m:oMath>
        <m:sSup>
          <m:e>
            <m:r>
              <m:t>​</m:t>
            </m:r>
          </m:e>
          <m:sup>
            <m:r>
              <m:t>6</m:t>
            </m:r>
          </m:sup>
        </m:sSup>
      </m:oMath>
      <w:r>
        <w:t xml:space="preserve"> </w:t>
      </w:r>
      <w:r>
        <w:t xml:space="preserve">cells/L. The phytoplankton communities near the discharge area in April were generally dominated by diatoms (Bacillariophyta). The initial diatom bloom did not persist past April. On April 20th, the toxic red tide species</w:t>
      </w:r>
      <w:r>
        <w:t xml:space="preserve"> </w:t>
      </w:r>
      <w:r>
        <w:rPr>
          <w:iCs/>
          <w:i/>
        </w:rPr>
        <w:t xml:space="preserve">Karenia brevis</w:t>
      </w:r>
      <w:r>
        <w:t xml:space="preserve"> </w:t>
      </w:r>
      <w:r>
        <w:t xml:space="preserve">was first observed near Anna Maria Sound at the southern edge of the mouth of Tampa Bay. By May/June, bloom levels of</w:t>
      </w:r>
      <w:r>
        <w:t xml:space="preserve"> </w:t>
      </w:r>
      <w:r>
        <w:rPr>
          <w:iCs/>
          <w:i/>
        </w:rPr>
        <w:t xml:space="preserve">K. brevis</w:t>
      </w:r>
      <w:r>
        <w:t xml:space="preserve"> </w:t>
      </w:r>
      <w:r>
        <w:t xml:space="preserve">were observed, with peak concentrations in excess of 1 x 10</w:t>
      </w:r>
      <m:oMath>
        <m:sSup>
          <m:e>
            <m:r>
              <m:t>​</m:t>
            </m:r>
          </m:e>
          <m:sup>
            <m:r>
              <m:t>6</m:t>
            </m:r>
          </m:sup>
        </m:sSup>
      </m:oMath>
      <w:r>
        <w:t xml:space="preserve"> </w:t>
      </w:r>
      <w:r>
        <w:t xml:space="preserve">cells/L in lower Tampa Bay. Also during May/June, high abundances of benthic filamentous cyanobacteria (</w:t>
      </w:r>
      <w:r>
        <w:rPr>
          <w:iCs/>
          <w:i/>
        </w:rPr>
        <w:t xml:space="preserve">Dapis</w:t>
      </w:r>
      <w:r>
        <w:t xml:space="preserve"> </w:t>
      </w:r>
      <w:r>
        <w:t xml:space="preserve">spp.) were observed in Anna Maria Sound (Area 3) and near Port Manatee (Area 1). High levels of cyanobacteria coverage on benthic and seagrass habitats were observed, in addition to large floating mats on the surface.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early to mid July, with bloom conditions not observed in the bay after July. Conditions were relatively stable in August and September compared to months prior. A quantitative description of these events follows.</w:t>
      </w:r>
    </w:p>
    <w:bookmarkEnd w:id="48"/>
    <w:bookmarkStart w:id="49"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 These contrasts provided a context for the monitoring data collected in 2021.</w:t>
      </w:r>
    </w:p>
    <w:p>
      <w:pPr>
        <w:pStyle w:val="BodyText"/>
      </w:pPr>
      <w:r>
        <w:t xml:space="preserve">Samples collected in the bay between April through September 2021 indicated that water quality conditions were unusual and outside of normal values expected for each month. A total of 7831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8% and 23%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38% of observations in Areas 2 and 3. Notable differences were also observed for dissolved oxygen (e.g., 53% were above in Area 1, 44% in Area 2). Physical parameters (salinity, temperature) and inorganic nitrogen (ammonia, nitrate/nitrite) were more often in normal range, although initial time series showed much higher concentrations for ammonia in April near Area 1. Ammonia concentrations were observed in excess of 10 mg/L, about three orders of magnitude above baseline (see supplement,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3</w:t>
      </w:r>
      <w:r>
        <w:t xml:space="preserve">).</w:t>
      </w:r>
    </w:p>
    <w:p>
      <w:pPr>
        <w:pStyle w:val="BodyText"/>
      </w:pPr>
      <w:r>
        <w:t xml:space="preserve">Total nitrogen, chl-a, and Secchi depth followed temporal progressions in 2021 that were distinct from long-term seasonal trends estimated from historical data (Figure</w:t>
      </w:r>
      <w:r>
        <w:t xml:space="preserve"> </w:t>
      </w:r>
      <w:r>
        <w:t xml:space="preserve">4</w:t>
      </w:r>
      <w:r>
        <w:t xml:space="preserve">). For Area 1, TN and chl-a concentrations were frequently above normal ranges during April. Concentrations decreased slightly until June and July when values increased again above the seasonal expectation, coincident with the increase in</w:t>
      </w:r>
      <w:r>
        <w:t xml:space="preserve"> </w:t>
      </w:r>
      <w:r>
        <w:rPr>
          <w:iCs/>
          <w:i/>
        </w:rPr>
        <w:t xml:space="preserve">K. brevis</w:t>
      </w:r>
      <w:r>
        <w:t xml:space="preserve"> </w:t>
      </w:r>
      <w:r>
        <w:t xml:space="preserve">concentrations. Many Secchi observations in Area 1 were lower than normal in April and July. Observations in Areas 2 and 3 were more often within the normal seasonal range, with some exceptions for TN and chl-a in Area 3 in April, May, and July. 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Areas 1 and 3 and for TN and chl-a for Area 2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49"/>
    <w:bookmarkStart w:id="50"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and cyanobacteria macroalgae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genera</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with turtle grass being the dominant species in more euhaline waters closer to the Gulf. There is no historical macroalgae record for Tampa Bay that is comparable to the resolution of the 2021 samples.</w:t>
      </w:r>
    </w:p>
    <w:p>
      <w:pPr>
        <w:pStyle w:val="BodyText"/>
      </w:pPr>
      <w:r>
        <w:t xml:space="preserve">A typical pattern for macroalgae and seagrass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the remainder of transects sampled during the study. Red macroalgae were present in high abundances from April to May. Benthic filamentous macroalgal cyanobacteria (</w:t>
      </w:r>
      <w:r>
        <w:rPr>
          <w:iCs/>
          <w:i/>
        </w:rPr>
        <w:t xml:space="preserve">Dapis</w:t>
      </w:r>
      <w:r>
        <w:t xml:space="preserve"> </w:t>
      </w:r>
      <w:r>
        <w:t xml:space="preserve">spp.) was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Green macroalgae had the second lowest frequency occurrence, although it increased slightly by the end of the study period (9% in September in Area 1, 31%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only for macroalgae (see supplement). Tests using Braun Blanquet abundances also produced similar results (see supplement).</w:t>
      </w:r>
    </w:p>
    <w:bookmarkEnd w:id="50"/>
    <w:bookmarkStart w:id="52" w:name="red-tide-impacts"/>
    <w:p>
      <w:pPr>
        <w:pStyle w:val="Heading2"/>
      </w:pPr>
      <w:r>
        <w:t xml:space="preserve">Red tide impacts</w:t>
      </w:r>
    </w:p>
    <w:p>
      <w:pPr>
        <w:pStyle w:val="FirstParagraph"/>
      </w:pPr>
      <w:r>
        <w:t xml:space="preserve">Medium bloom concentrations of the red tide species</w:t>
      </w:r>
      <w:r>
        <w:t xml:space="preserve"> </w:t>
      </w:r>
      <w:r>
        <w:rPr>
          <w:iCs/>
          <w:i/>
        </w:rPr>
        <w:t xml:space="preserve">K. brevis</w:t>
      </w:r>
      <w:r>
        <w:t xml:space="preserve"> </w:t>
      </w:r>
      <w:r>
        <w:t xml:space="preserve">in 2021 were first observed in Tampa Bay the week of May 23, with high bloom concentrations peaking by the week of July 4th, after which concentrations declined (Figure</w:t>
      </w:r>
      <w:r>
        <w:t xml:space="preserve"> </w:t>
      </w:r>
      <w:r>
        <w:t xml:space="preserve">7</w:t>
      </w:r>
      <w:r>
        <w:t xml:space="preserve">b, low/medium/high concentrations based on</w:t>
      </w:r>
      <w:r>
        <w:t xml:space="preserve"> </w:t>
      </w:r>
      <w:hyperlink r:id="rId51">
        <w:r>
          <w:rPr>
            <w:rStyle w:val="Hyperlink"/>
          </w:rPr>
          <w:t xml:space="preserve">FWC breakpoints</w:t>
        </w:r>
      </w:hyperlink>
      <w:r>
        <w:t xml:space="preserve"> </w:t>
      </w:r>
      <w:r>
        <w:t xml:space="preserve">at 10,000/100,000/1,000,000 cells/L).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7</w:t>
      </w:r>
      <w:r>
        <w:t xml:space="preserve">a) shows cell concentrations sampled in Tampa Bay between April and September, with only a few years having cell concentrations greater than 10,000 cells/L, notably 1963, 1971, 2005, 2018, and 2021. Median cell concentrations for most years were well below 1,000 cells/L. The highest concentration of 20 million cells/L was observed in 1971, whereas the second highest concentration of 17.6 million cells/L was observed in 2021. Cumulative rainfall and associated inflow from the main rivers entering Tampa Bay in 2021 were below historical values (1995 - 2020) in the months preceding the highest bloom concentrations (i.e., January to June, Figure</w:t>
      </w:r>
      <w:r>
        <w:t xml:space="preserve"> </w:t>
      </w:r>
      <w:r>
        <w:t xml:space="preserve">7</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in addition to the elevated nutrient concentrations from the Piney Point discharge.</w:t>
      </w:r>
    </w:p>
    <w:p>
      <w:pPr>
        <w:pStyle w:val="BodyText"/>
      </w:pPr>
      <w:r>
        <w:t xml:space="preserve">Fish kill reports attributed to red tide at the cities of Tampa and Saint Petersburg, FL closely tracked cell concentrations during June and July 2021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all of the fish kill reports occurred within a 1.5 month period during peak</w:t>
      </w:r>
      <w:r>
        <w:t xml:space="preserve"> </w:t>
      </w:r>
      <w:r>
        <w:rPr>
          <w:iCs/>
          <w:i/>
        </w:rPr>
        <w:t xml:space="preserve">K. brevis</w:t>
      </w:r>
      <w:r>
        <w:t xml:space="preserve"> </w:t>
      </w:r>
      <w:r>
        <w:t xml:space="preserve">cell concentrations, whereas red tide in the bay was observed for nearly four months. Increased fish kill reports in early July also coincided with a shift in winds from Tropical Storm Elsa (Figure</w:t>
      </w:r>
      <w:r>
        <w:t xml:space="preserve"> </w:t>
      </w:r>
      <w:r>
        <w:t xml:space="preserve">7</w:t>
      </w:r>
      <w:r>
        <w:t xml:space="preserve">f, pre-, post-storm wind roses), which moved dead fish closer to populated nearshore areas, as noted earlier. By August, Pinellas County and the city of St. Petersburg removed over 1600 metric tons of dead fish near public and private shoreline areas (K. Hammer Levy, Pinellas County, pers. comm. Aug. 2021).</w:t>
      </w:r>
    </w:p>
    <w:bookmarkEnd w:id="52"/>
    <w:bookmarkStart w:id="53" w:name="potential-nutrient-cycling"/>
    <w:p>
      <w:pPr>
        <w:pStyle w:val="Heading2"/>
      </w:pPr>
      <w:r>
        <w:t xml:space="preserve">Potential nutrient cycling</w:t>
      </w:r>
    </w:p>
    <w:p>
      <w:pPr>
        <w:pStyle w:val="FirstParagraph"/>
      </w:pPr>
      <w:r>
        <w:t xml:space="preserve">The above results can be considered together to develop a narrative of the temporal shift of nutrient pools between ecosystem components of the bay from April through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This initial peak in water quality parameters suggested a unique response of the phytoplankton community as an increase in diatoms (e.g., centric species, also</w:t>
      </w:r>
      <w:r>
        <w:t xml:space="preserve"> </w:t>
      </w:r>
      <w:r>
        <w:rPr>
          <w:iCs/>
          <w:i/>
        </w:rPr>
        <w:t xml:space="preserve">Asterionellopsis</w:t>
      </w:r>
      <w:r>
        <w:t xml:space="preserve"> </w:t>
      </w:r>
      <w:r>
        <w:t xml:space="preserve">sp. and</w:t>
      </w:r>
      <w:r>
        <w:t xml:space="preserve"> </w:t>
      </w:r>
      <w:r>
        <w:rPr>
          <w:iCs/>
          <w:i/>
        </w:rPr>
        <w:t xml:space="preserve">Skeletonema</w:t>
      </w:r>
      <w:r>
        <w:t xml:space="preserve"> </w:t>
      </w:r>
      <w:r>
        <w:t xml:space="preserve">sp., Figure</w:t>
      </w:r>
      <w:r>
        <w:t xml:space="preserve"> </w:t>
      </w:r>
      <w:r>
        <w:t xml:space="preserve">8</w:t>
      </w:r>
      <w:r>
        <w:t xml:space="preserve">c) that can readily utilize inorganic forms of nitrogen that were a majority percentage of the TN in the initial discharge. Water quality indicators improved slightly following the decrease in diatoms in late April, as noted by relatively lower concentrations of TN and chl-a. However, macroalgal biomass increased after the initial diatom bloom and peaked in June (Figure</w:t>
      </w:r>
      <w:r>
        <w:t xml:space="preserve"> </w:t>
      </w:r>
      <w:r>
        <w:t xml:space="preserve">8</w:t>
      </w:r>
      <w:r>
        <w:t xml:space="preserve">d), suggesting a shift of nutrients from phytoplankton to drift macroalgae communities.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stimulated growth of the latter, although residual water column nutrients from Piney Point were likely present (as noted by modelling efforts). Finally, conditions were relatively stable in August and September with relatively improved water quality conditions and no dominant algal blooms. These distinct temporal periods were readily identified through an ordination plot (see supplement) for the observed data in Figure</w:t>
      </w:r>
      <w:r>
        <w:t xml:space="preserve"> </w:t>
      </w:r>
      <w:r>
        <w:t xml:space="preserve">8</w:t>
      </w:r>
      <w:r>
        <w:t xml:space="preserve">.</w:t>
      </w:r>
    </w:p>
    <w:bookmarkEnd w:id="53"/>
    <w:bookmarkEnd w:id="54"/>
    <w:bookmarkStart w:id="62" w:name="discussion"/>
    <w:p>
      <w:pPr>
        <w:pStyle w:val="Heading1"/>
      </w:pPr>
      <w:r>
        <w:t xml:space="preserve">Discussion</w:t>
      </w:r>
    </w:p>
    <w:p>
      <w:pPr>
        <w:pStyle w:val="FirstParagraph"/>
      </w:pPr>
      <w:r>
        <w:t xml:space="preserve">The observed conditions in Tampa Bay in 2021 following unanticipated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release at Port Manatee, 2) high abundance of Cyanobacteria in Anna Maria Sound and near Port Manatee, 3)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3</w:t>
      </w:r>
      <w:r>
        <w:t xml:space="preserve">, Table</w:t>
      </w:r>
      <w:r>
        <w:t xml:space="preserve"> </w:t>
      </w:r>
      <w:r>
        <w:t xml:space="preserve">2</w:t>
      </w:r>
      <w:r>
        <w:t xml:space="preserve">). These conditions were widespread in lower and middle Tampa Bay.</w:t>
      </w:r>
    </w:p>
    <w:p>
      <w:pPr>
        <w:pStyle w:val="BodyText"/>
      </w:pPr>
      <w:r>
        <w:t xml:space="preserve">In addition to the changing environmental conditions observed during the summer, the Piney Point event also represented an anomalous volume and load of labile nitrogen released directly into lower Tampa Bay. Spill events</w:t>
      </w:r>
      <w:r>
        <w:t xml:space="preserve"> </w:t>
      </w:r>
      <w:hyperlink r:id="rId55">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56">
        <w:r>
          <w:rPr>
            <w:rStyle w:val="Hyperlink"/>
          </w:rPr>
          <w:t xml:space="preserve">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57">
        <w:r>
          <w:rPr>
            <w:rStyle w:val="Hyperlink"/>
          </w:rPr>
          <w:t xml:space="preserve">https://tbep-tech.github.io/load-estimates/</w:t>
        </w:r>
      </w:hyperlink>
      <w:r>
        <w:t xml:space="preserve">). From both a monitoring perspective and the nature of the unanticipated release into Tampa Bay, indicators of eutrophication from the 2021 water quality data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(see supplement). Of note is that inorganic species of nitrogen, mainly ammonia, were only present at high concentrations in early April. Concerns of the negative impacts of nutrients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organic sources were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There were also concerns that such releases may have contributed to the persistence and intensity of the red tide event that spread throughout lower and middle Tampa Bay. Fisheries resources were impacted by</w:t>
      </w:r>
      <w:r>
        <w:t xml:space="preserve"> </w:t>
      </w:r>
      <w:r>
        <w:rPr>
          <w:iCs/>
          <w:i/>
        </w:rPr>
        <w:t xml:space="preserve">K. brevis</w:t>
      </w:r>
      <w:r>
        <w:t xml:space="preserve"> </w:t>
      </w:r>
      <w:r>
        <w:t xml:space="preserve">blooms in June and July (Figure</w:t>
      </w:r>
      <w:r>
        <w:t xml:space="preserve"> </w:t>
      </w:r>
      <w:r>
        <w:t xml:space="preserve">7</w:t>
      </w:r>
      <w:r>
        <w:t xml:space="preserve">).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that persisted for several months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mandates for catch and release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were extended through the fall of 2021.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were more localized in comparison to the 2021 bloom event, potentially allowing fishes to migrate from harmful conditions.</w:t>
      </w:r>
    </w:p>
    <w:p>
      <w:pPr>
        <w:pStyle w:val="BodyText"/>
      </w:pPr>
      <w:r>
        <w:t xml:space="preserve">For seagrasses, major bloom events in 2021 produced unfavourable water quality conditions, although changes in frequency occurrence of seagrasses were minimal over the initial study period.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w:t>
      </w:r>
      <w:r>
        <w:t xml:space="preserve"> </w:t>
      </w:r>
      <w:r>
        <w:t xml:space="preserve">sp. 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in the context of broader issues affecting ecosystem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w:t>
      </w:r>
      <w:r>
        <w:t xml:space="preserve"> </w:t>
      </w:r>
      <w:r>
        <w:t xml:space="preserve">spp.,</w:t>
      </w:r>
      <w:r>
        <w:t xml:space="preserve"> </w:t>
      </w:r>
      <w:r>
        <w:rPr>
          <w:iCs/>
          <w:i/>
        </w:rPr>
        <w:t xml:space="preserve">Acanthophora</w:t>
      </w:r>
      <w:r>
        <w:t xml:space="preserve"> </w:t>
      </w:r>
      <w:r>
        <w:t xml:space="preserve">sp.) are more common than green macroalgae (e.g.,</w:t>
      </w:r>
      <w:r>
        <w:t xml:space="preserve"> </w:t>
      </w:r>
      <w:r>
        <w:rPr>
          <w:iCs/>
          <w:i/>
        </w:rPr>
        <w:t xml:space="preserve">Ulva</w:t>
      </w:r>
      <w:r>
        <w:t xml:space="preserve"> </w:t>
      </w:r>
      <w:r>
        <w:t xml:space="preserve">spp.,</w:t>
      </w:r>
      <w:r>
        <w:t xml:space="preserve"> </w:t>
      </w:r>
      <w:r>
        <w:rPr>
          <w:iCs/>
          <w:i/>
        </w:rPr>
        <w:t xml:space="preserve">Caulerpa</w:t>
      </w:r>
      <w:r>
        <w:t xml:space="preserve"> </w:t>
      </w:r>
      <w:r>
        <w:t xml:space="preserve">spp.) and occur earlier in the growing season. The dominance of the red groups early in the summer followed by an increase in the green alga</w:t>
      </w:r>
      <w:r>
        <w:t xml:space="preserve"> </w:t>
      </w:r>
      <w:r>
        <w:rPr>
          <w:iCs/>
          <w:i/>
        </w:rPr>
        <w:t xml:space="preserve">Ulva</w:t>
      </w:r>
      <w:r>
        <w:t xml:space="preserve"> </w:t>
      </w:r>
      <w:r>
        <w:t xml:space="preserve">spp. may reflect a natural phenology in Tampa Bay. The most notable change in the macroalgae community was a high abundance of cyanobacteria (i.e.,</w:t>
      </w:r>
      <w:r>
        <w:t xml:space="preserve"> </w:t>
      </w:r>
      <w:r>
        <w:rPr>
          <w:iCs/>
          <w:i/>
        </w:rPr>
        <w:t xml:space="preserve">Dapis</w:t>
      </w:r>
      <w:r>
        <w:t xml:space="preserve"> </w:t>
      </w:r>
      <w:r>
        <w:t xml:space="preserve">spp.) in May and June. Unusually high abundances of</w:t>
      </w:r>
      <w:r>
        <w:t xml:space="preserve"> </w:t>
      </w:r>
      <w:r>
        <w:rPr>
          <w:iCs/>
          <w:i/>
        </w:rPr>
        <w:t xml:space="preserve">Dapis</w:t>
      </w:r>
      <w:r>
        <w:t xml:space="preserve"> </w:t>
      </w:r>
      <w:r>
        <w:t xml:space="preserve">spp. were observed in Anna Maria Sound near the mouth of Tampa Bay and near Port Manatee at the release site. Long-term monitoring data describing normal seasonal variation in macroalgae are unavailable and we cannot distinguish between seasonal changes and those in potential response to the Piney Point release.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Contributing factors in 2021, such as low rainfall preceding the bloom and varying wind patterns, also created conditions that were favorable for growth of</w:t>
      </w:r>
      <w:r>
        <w:t xml:space="preserve"> </w:t>
      </w:r>
      <w:r>
        <w:rPr>
          <w:iCs/>
          <w:i/>
        </w:rPr>
        <w:t xml:space="preserve">K. brevis</w:t>
      </w:r>
      <w:r>
        <w:t xml:space="preserve">.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created conditions in Tampa Bay conducive for the extreme bloom concentrations observed in July.</w:t>
      </w:r>
    </w:p>
    <w:p>
      <w:pPr>
        <w:pStyle w:val="BodyText"/>
      </w:pPr>
      <w:r>
        <w:t xml:space="preserve">Additional monitoring and analysis are also required to fully understand the long-term impacts to bay resources beyond water quality. For benthic communities, sediments sampled in April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 see</w:t>
      </w:r>
      <w:r>
        <w:t xml:space="preserve"> </w:t>
      </w:r>
      <w:hyperlink r:id="rId58">
        <w:r>
          <w:rPr>
            <w:rStyle w:val="Hyperlink"/>
          </w:rPr>
          <w:t xml:space="preserve">https://shiny.tbep.org/piney-point</w:t>
        </w:r>
      </w:hyperlink>
      <w:r>
        <w:t xml:space="preserve">)</w:t>
      </w:r>
      <w:r>
        <w:t xml:space="preserve">,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samples to historical conditions suggested relatively consistent benthic invertebrate community structure from 1993 to present (</w:t>
      </w:r>
      <w:hyperlink r:id="rId59">
        <w:r>
          <w:rPr>
            <w:rStyle w:val="Hyperlink"/>
          </w:rPr>
          <w:t xml:space="preserve">unpublished results</w:t>
        </w:r>
      </w:hyperlink>
      <w:r>
        <w:t xml:space="preserve">). Sediment contaminant results for a suite of metals and chemicals as well as percent silt/clay for both April and September 2021 benthic samples are not yet available at the time of writing.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60">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1">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In the broader context of mining impacts to surface waters, the results reinforce the understanding that legacy pollutants from phosphate mining can negatively affect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Two spills have occurred in Grand Bay, the first in 2005 following failure of the retaining walls after a heavy rain event and the second in 2012 after passage of Hurricane Isaac when the holding capacity of the gypstack was exceeded again with heavy rainfall. Massive fish kills were observed and likely related to low pH of the water released. Unlike Piney Point, inorganic nitrogen concentrations of the release were low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Phosphate loads to Tampa Bay from Piney Point were similar in magnitude to the nitrogen loads, although concentrations were within normal baseline ranges within a month after the release stopped (see supplement). The fate of the phosphorus in Tampa Bay is unknown.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r>
        <w:t xml:space="preserve"> </w:t>
      </w:r>
      <w:r>
        <w:t xml:space="preserve">(</w:t>
      </w:r>
      <w:hyperlink w:anchor="ref-Nelson21">
        <w:r>
          <w:rPr>
            <w:rStyle w:val="Hyperlink"/>
          </w:rPr>
          <w:t xml:space="preserve">Nelson et al., 2021</w:t>
        </w:r>
      </w:hyperlink>
      <w:r>
        <w:t xml:space="preserve">)</w:t>
      </w:r>
      <w:r>
        <w:t xml:space="preserve">.</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Long-term fate of nutrients from Piney Point is uncertain and continued monitoring can further support understanding of ecosystem response in Tampa Bay beyond the initial results in 2021. Local, regional, and state partners should continue to pursue management and policy actions that can mitigate the continued threats of these facilities to the health of coastal resources. These efforts are critical to managing Gulf of Mexico ecosystems given past successes and the need to address ongoing threats of climate change, human population growth, habitat loss, severe weather events, and recurring pollutant sources.</w:t>
      </w:r>
    </w:p>
    <w:bookmarkEnd w:id="62"/>
    <w:bookmarkStart w:id="63"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3"/>
    <w:bookmarkStart w:id="74"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4"/>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2426063"/>
            <wp:effectExtent b="0" l="0" r="0" t="0"/>
            <wp:docPr descr="Figure 2: Graphical timeline of events in Tampa Bay from March 30th through September 2021 following the release from Piney Point. Inset image shows blooms of cyanobacteria macroalgae (Dapis spp.)." title="" id="1" name="Picture"/>
            <a:graphic>
              <a:graphicData uri="http://schemas.openxmlformats.org/drawingml/2006/picture">
                <pic:pic>
                  <pic:nvPicPr>
                    <pic:cNvPr descr="C:/proj/piney-point-manu/figs/timeline.jpg" id="0" name="Picture"/>
                    <pic:cNvPicPr>
                      <a:picLocks noChangeArrowheads="1" noChangeAspect="1"/>
                    </pic:cNvPicPr>
                  </pic:nvPicPr>
                  <pic:blipFill>
                    <a:blip r:embed="rId65"/>
                    <a:stretch>
                      <a:fillRect/>
                    </a:stretch>
                  </pic:blipFill>
                  <pic:spPr bwMode="auto">
                    <a:xfrm>
                      <a:off x="0" y="0"/>
                      <a:ext cx="5943600" cy="2426063"/>
                    </a:xfrm>
                    <a:prstGeom prst="rect">
                      <a:avLst/>
                    </a:prstGeom>
                    <a:noFill/>
                    <a:ln w="9525">
                      <a:noFill/>
                      <a:headEnd/>
                      <a:tailEnd/>
                    </a:ln>
                  </pic:spPr>
                </pic:pic>
              </a:graphicData>
            </a:graphic>
          </wp:inline>
        </w:drawing>
      </w:r>
    </w:p>
    <w:p>
      <w:pPr>
        <w:pStyle w:val="ImageCaption"/>
      </w:pPr>
      <w:r>
        <w:t xml:space="preserve">Figure 2: Graphical timeline of events in Tampa Bay from March 30th through September 2021 following the release from Piney Point. Inset image shows blooms of cyanobacteria macroalgae (</w:t>
      </w:r>
      <w:r>
        <w:rPr>
          <w:iCs/>
          <w:i/>
        </w:rPr>
        <w:t xml:space="preserve">Dapis</w:t>
      </w:r>
      <w:r>
        <w:t xml:space="preserve"> </w:t>
      </w:r>
      <w:r>
        <w:t xml:space="preserve">spp.).</w:t>
      </w:r>
    </w:p>
    <w:p>
      <w:pPr>
        <w:pStyle w:val="CaptionedFigure"/>
      </w:pPr>
      <w:r>
        <w:drawing>
          <wp:inline>
            <wp:extent cx="5943600" cy="3467099"/>
            <wp:effectExtent b="0" l="0" r="0" t="0"/>
            <wp:docPr descr="Figure 3: Water quality data (raw observations) for April through September 2021 following the releas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66"/>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Water quality data (raw observations) for April through September 2021 following the release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Forecasted 2021 (a) total nitrogen (mg/L), (b) chlorophyll-a (ug/L), and (c) Secchi disk depth (meters) by area based on historal seasonal models. Forecasts from the historical models for dates during and after the Piney Point release are shown in thick lines (+/- 95% confidence), with observed samples overlaid on the plots to emphasize deviation of 2021 data from historical seasonal estimates. Forecas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C:/proj/piney-point-manu/figs/wqgam.jpeg" id="0" name="Picture"/>
                    <pic:cNvPicPr>
                      <a:picLocks noChangeArrowheads="1" noChangeAspect="1"/>
                    </pic:cNvPicPr>
                  </pic:nvPicPr>
                  <pic:blipFill>
                    <a:blip r:embed="rId67"/>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Forecasted 2021 (a) total nitrogen (mg/L), (b) chlorophyll-a (ug/L), and (c) Secchi disk depth (meters) by area based on historal seasonal models. Forecasts from the historical models for dates during and after the Piney Point release are shown in thick lines (+/- 95% confidence), with observed samples overlaid on the plots to emphasize deviation of 2021 data from historical seasonal estimates. Forecasted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68"/>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w:t>
      </w:r>
      <w:r>
        <w:t xml:space="preserve"> </w:t>
      </w:r>
      <w:r>
        <w:t xml:space="preserve">spp. (cyanobacteria) peaking in June and green macroalgae (</w:t>
      </w:r>
      <w:r>
        <w:rPr>
          <w:iCs/>
          <w:i/>
        </w:rPr>
        <w:t xml:space="preserve">Ulva</w:t>
      </w:r>
      <w:r>
        <w:t xml:space="preserve"> </w:t>
      </w:r>
      <w:r>
        <w:t xml:space="preserve">spp.) increasing in July. Abundances are Braun-Blanquet coverage estimates.</w:t>
      </w:r>
    </w:p>
    <w:p>
      <w:pPr>
        <w:pStyle w:val="CaptionedFigure"/>
      </w:pPr>
      <w:r>
        <w:drawing>
          <wp:inline>
            <wp:extent cx="5943600" cy="3962400"/>
            <wp:effectExtent b="0" l="0" r="0" t="0"/>
            <wp:docPr descr="Figure 6: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a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69"/>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taxa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7: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summed hydrologic loads of major tributaries to Tampa Bay from USGS gaged sites, and wind rose plots are from wind measurements at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0"/>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1">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2">
        <w:r>
          <w:rPr>
            <w:rStyle w:val="Hyperlink"/>
          </w:rPr>
          <w:t xml:space="preserve">https://public.myfwc.com/FWRI/FishKillReport/</w:t>
        </w:r>
      </w:hyperlink>
      <w:r>
        <w:t xml:space="preserve">), precipitation data are from Tampa International Airport, inflow estimates are for summed hydrologic loads of major tributaries to Tampa Bay from USGS gaged sites, and wind rose plots are from wind measurements at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cyanobacteria macroalgal abundances, and (e) Karenia brevis cell concentration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3"/>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cyanobacteria macroalgal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w:t>
      </w:r>
      <w:r>
        <w:t xml:space="preserve"> </w:t>
      </w:r>
      <w:r>
        <w:t xml:space="preserve">sp. and</w:t>
      </w:r>
      <w:r>
        <w:t xml:space="preserve"> </w:t>
      </w:r>
      <w:r>
        <w:rPr>
          <w:iCs/>
          <w:i/>
        </w:rPr>
        <w:t xml:space="preserve">Skeletonema sp</w:t>
      </w:r>
      <w:r>
        <w:t xml:space="preserve">.</w:t>
      </w:r>
    </w:p>
    <w:bookmarkEnd w:id="74"/>
    <w:bookmarkStart w:id="75"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stack water or release water.</w:t>
      </w:r>
    </w:p>
    <w:tbl>
      <w:tblPr>
        <w:tblStyle w:val="Table"/>
        <w:tblW w:type="pct" w:w="5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stack water or release water."/>
      </w:tblPr>
      <w:tblGrid>
        <w:gridCol w:w="1671"/>
        <w:gridCol w:w="1235"/>
        <w:gridCol w:w="1671"/>
        <w:gridCol w:w="3342"/>
      </w:tblGrid>
      <w:tr>
        <w:trPr>
          <w:tblHeader w:val="true"/>
        </w:trPr>
        <w:tc>
          <w:tcPr/>
          <w:p>
            <w:pPr>
              <w:pStyle w:val="Compact"/>
              <w:jc w:val="left"/>
            </w:pPr>
            <w:r>
              <w:t xml:space="preserve">Water quality variable</w:t>
            </w:r>
          </w:p>
        </w:tc>
        <w:tc>
          <w:tcPr/>
          <w:p>
            <w:pPr>
              <w:pStyle w:val="Compact"/>
              <w:jc w:val="left"/>
            </w:pPr>
            <w:r>
              <w:t xml:space="preserve">2019 stack value</w:t>
            </w:r>
          </w:p>
        </w:tc>
        <w:tc>
          <w:tcPr/>
          <w:p>
            <w:pPr>
              <w:pStyle w:val="Compact"/>
              <w:jc w:val="left"/>
            </w:pPr>
            <w:r>
              <w:t xml:space="preserve">2021 end-of-pipe value</w:t>
            </w:r>
          </w:p>
        </w:tc>
        <w:tc>
          <w:tcPr/>
          <w:p>
            <w:pPr>
              <w:pStyle w:val="Compact"/>
              <w:jc w:val="left"/>
            </w:pPr>
            <w:r>
              <w:t xml:space="preserve">2006 - 2020 lower Tampa Bay median (min, max)</w:t>
            </w:r>
          </w:p>
        </w:tc>
      </w:tr>
      <w:tr>
        <w:tc>
          <w:tcPr/>
          <w:p>
            <w:pPr>
              <w:pStyle w:val="Compact"/>
              <w:jc w:val="left"/>
            </w:pPr>
            <w:r>
              <w:t xml:space="preserve">Nitrate/Nitrite (mg/L)</w:t>
            </w:r>
          </w:p>
        </w:tc>
        <w:tc>
          <w:tcPr/>
          <w:p>
            <w:pPr>
              <w:pStyle w:val="Compact"/>
              <w:jc w:val="left"/>
            </w:pPr>
            <w:r>
              <w:t xml:space="preserve">0.004</w:t>
            </w:r>
          </w:p>
        </w:tc>
        <w:tc>
          <w:tcPr/>
          <w:p>
            <w:pPr>
              <w:pStyle w:val="Compact"/>
              <w:jc w:val="left"/>
            </w:pPr>
            <w:r>
              <w:t xml:space="preserve">0.292</w:t>
            </w:r>
          </w:p>
        </w:tc>
        <w:tc>
          <w:tcPr/>
          <w:p>
            <w:pPr>
              <w:pStyle w:val="Compact"/>
              <w:jc w:val="left"/>
            </w:pPr>
            <w:r>
              <w:t xml:space="preserve">0.012 (0.007, 0.014)</w:t>
            </w:r>
          </w:p>
        </w:tc>
      </w:tr>
      <w:tr>
        <w:tc>
          <w:tcPr/>
          <w:p>
            <w:pPr>
              <w:pStyle w:val="Compact"/>
              <w:jc w:val="left"/>
            </w:pPr>
            <w:r>
              <w:t xml:space="preserve">NH3, NH4+ (mg/L)</w:t>
            </w:r>
          </w:p>
        </w:tc>
        <w:tc>
          <w:tcPr/>
          <w:p>
            <w:pPr>
              <w:pStyle w:val="Compact"/>
              <w:jc w:val="left"/>
            </w:pPr>
            <w:r>
              <w:t xml:space="preserve">210</w:t>
            </w:r>
          </w:p>
        </w:tc>
        <w:tc>
          <w:tcPr/>
          <w:p>
            <w:pPr>
              <w:pStyle w:val="Compact"/>
              <w:jc w:val="left"/>
            </w:pPr>
            <w:r>
              <w:t xml:space="preserve">210</w:t>
            </w:r>
          </w:p>
        </w:tc>
        <w:tc>
          <w:tcPr/>
          <w:p>
            <w:pPr>
              <w:pStyle w:val="Compact"/>
              <w:jc w:val="left"/>
            </w:pPr>
            <w:r>
              <w:t xml:space="preserve">0.019 (0.007, 0.039)</w:t>
            </w:r>
          </w:p>
        </w:tc>
      </w:tr>
      <w:tr>
        <w:tc>
          <w:tcPr/>
          <w:p>
            <w:pPr>
              <w:pStyle w:val="Compact"/>
              <w:jc w:val="left"/>
            </w:pPr>
            <w:r>
              <w:t xml:space="preserve">TN (mg/L)</w:t>
            </w:r>
          </w:p>
        </w:tc>
        <w:tc>
          <w:tcPr/>
          <w:p>
            <w:pPr>
              <w:pStyle w:val="Compact"/>
              <w:jc w:val="left"/>
            </w:pPr>
            <w:r>
              <w:t xml:space="preserve">230</w:t>
            </w:r>
          </w:p>
        </w:tc>
        <w:tc>
          <w:tcPr/>
          <w:p>
            <w:pPr>
              <w:pStyle w:val="Compact"/>
              <w:jc w:val="left"/>
            </w:pPr>
            <w:r>
              <w:t xml:space="preserve">220</w:t>
            </w:r>
          </w:p>
        </w:tc>
        <w:tc>
          <w:tcPr/>
          <w:p>
            <w:pPr>
              <w:pStyle w:val="Compact"/>
              <w:jc w:val="left"/>
            </w:pPr>
            <w:r>
              <w:t xml:space="preserve">0.288 (0.226, 0.385)</w:t>
            </w:r>
          </w:p>
        </w:tc>
      </w:tr>
      <w:tr>
        <w:tc>
          <w:tcPr/>
          <w:p>
            <w:pPr>
              <w:pStyle w:val="Compact"/>
              <w:jc w:val="left"/>
            </w:pPr>
            <w:r>
              <w:t xml:space="preserve">TP (mg/L)</w:t>
            </w:r>
          </w:p>
        </w:tc>
        <w:tc>
          <w:tcPr/>
          <w:p>
            <w:pPr>
              <w:pStyle w:val="Compact"/>
              <w:jc w:val="left"/>
            </w:pPr>
            <w:r>
              <w:t xml:space="preserve">160</w:t>
            </w:r>
          </w:p>
        </w:tc>
        <w:tc>
          <w:tcPr/>
          <w:p>
            <w:pPr>
              <w:pStyle w:val="Compact"/>
              <w:jc w:val="left"/>
            </w:pPr>
            <w:r>
              <w:t xml:space="preserve">150.5</w:t>
            </w:r>
          </w:p>
        </w:tc>
        <w:tc>
          <w:tcPr/>
          <w:p>
            <w:pPr>
              <w:pStyle w:val="Compact"/>
              <w:jc w:val="left"/>
            </w:pPr>
            <w:r>
              <w:t xml:space="preserve">0.082 (0.058, 0.145)</w:t>
            </w:r>
          </w:p>
        </w:tc>
      </w:tr>
      <w:tr>
        <w:tc>
          <w:tcPr/>
          <w:p>
            <w:pPr>
              <w:pStyle w:val="Compact"/>
              <w:jc w:val="left"/>
            </w:pPr>
            <w:r>
              <w:t xml:space="preserve">Ortho-P (mg/L)</w:t>
            </w:r>
          </w:p>
        </w:tc>
        <w:tc>
          <w:tcPr/>
          <w:p>
            <w:pPr>
              <w:pStyle w:val="Compact"/>
              <w:jc w:val="left"/>
            </w:pPr>
            <w:r>
              <w:t xml:space="preserve">150</w:t>
            </w:r>
          </w:p>
        </w:tc>
        <w:tc>
          <w:tcPr/>
          <w:p>
            <w:pPr>
              <w:pStyle w:val="Compact"/>
              <w:jc w:val="left"/>
            </w:pPr>
            <w:r>
              <w:t xml:space="preserve">147.5</w:t>
            </w:r>
          </w:p>
        </w:tc>
        <w:tc>
          <w:tcPr/>
          <w:p>
            <w:pPr>
              <w:pStyle w:val="Compact"/>
              <w:jc w:val="left"/>
            </w:pPr>
            <w:r>
              <w:t xml:space="preserve">0.049 (0.029, 0.055)</w:t>
            </w:r>
          </w:p>
        </w:tc>
      </w:tr>
      <w:tr>
        <w:tc>
          <w:tcPr/>
          <w:p>
            <w:pPr>
              <w:pStyle w:val="Compact"/>
              <w:jc w:val="left"/>
            </w:pPr>
            <w:r>
              <w:t xml:space="preserve">DO (% sat.)</w:t>
            </w:r>
          </w:p>
        </w:tc>
        <w:tc>
          <w:tcPr/>
          <w:p>
            <w:pPr>
              <w:pStyle w:val="Compact"/>
              <w:jc w:val="left"/>
            </w:pPr>
            <w:r>
              <w:t xml:space="preserve">107.5</w:t>
            </w:r>
          </w:p>
        </w:tc>
        <w:tc>
          <w:tcPr/>
          <w:p>
            <w:pPr>
              <w:pStyle w:val="Compact"/>
              <w:jc w:val="left"/>
            </w:pPr>
            <w:r>
              <w:t xml:space="preserve">-</w:t>
            </w:r>
          </w:p>
        </w:tc>
        <w:tc>
          <w:tcPr/>
          <w:p>
            <w:pPr>
              <w:pStyle w:val="Compact"/>
              <w:jc w:val="left"/>
            </w:pPr>
            <w:r>
              <w:t xml:space="preserve">90.7 (86, 92)</w:t>
            </w:r>
          </w:p>
        </w:tc>
      </w:tr>
      <w:tr>
        <w:tc>
          <w:tcPr/>
          <w:p>
            <w:pPr>
              <w:pStyle w:val="Compact"/>
              <w:jc w:val="left"/>
            </w:pPr>
            <w:r>
              <w:t xml:space="preserve">pH</w:t>
            </w:r>
          </w:p>
        </w:tc>
        <w:tc>
          <w:tcPr/>
          <w:p>
            <w:pPr>
              <w:pStyle w:val="Compact"/>
              <w:jc w:val="left"/>
            </w:pPr>
            <w:r>
              <w:t xml:space="preserve">4</w:t>
            </w:r>
          </w:p>
        </w:tc>
        <w:tc>
          <w:tcPr/>
          <w:p>
            <w:pPr>
              <w:pStyle w:val="Compact"/>
              <w:jc w:val="left"/>
            </w:pPr>
            <w:r>
              <w:t xml:space="preserve">-</w:t>
            </w:r>
          </w:p>
        </w:tc>
        <w:tc>
          <w:tcPr/>
          <w:p>
            <w:pPr>
              <w:pStyle w:val="Compact"/>
              <w:jc w:val="left"/>
            </w:pPr>
            <w:r>
              <w:t xml:space="preserve">8.1 (8, 8.1)</w:t>
            </w:r>
          </w:p>
        </w:tc>
      </w:tr>
      <w:tr>
        <w:tc>
          <w:tcPr/>
          <w:p>
            <w:pPr>
              <w:pStyle w:val="Compact"/>
              <w:jc w:val="left"/>
            </w:pPr>
            <w:r>
              <w:t xml:space="preserve">Chl-a (ug/L)</w:t>
            </w:r>
          </w:p>
        </w:tc>
        <w:tc>
          <w:tcPr/>
          <w:p>
            <w:pPr>
              <w:pStyle w:val="Compact"/>
              <w:jc w:val="left"/>
            </w:pPr>
            <w:r>
              <w:t xml:space="preserve">-</w:t>
            </w:r>
          </w:p>
        </w:tc>
        <w:tc>
          <w:tcPr/>
          <w:p>
            <w:pPr>
              <w:pStyle w:val="Compact"/>
              <w:jc w:val="left"/>
            </w:pPr>
            <w:r>
              <w:t xml:space="preserve">105</w:t>
            </w:r>
          </w:p>
        </w:tc>
        <w:tc>
          <w:tcPr/>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
        <w:tblLook w:firstRow="1" w:lastRow="0" w:firstColumn="0" w:lastColumn="0" w:noHBand="0" w:noVBand="0" w:val="0020"/>
        <w:tblCaption w:val="Table 2: Summary of water quality variables collected in Tampa Bay from April through September 2021 following the release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Med. (Min., Max.)</w:t>
            </w:r>
          </w:p>
        </w:tc>
        <w:tc>
          <w:tcPr/>
          <w:p>
            <w:pPr>
              <w:pStyle w:val="Compact"/>
              <w:jc w:val="right"/>
            </w:pPr>
            <w:r>
              <w:t xml:space="preserve">N obs.</w:t>
            </w:r>
          </w:p>
        </w:tc>
        <w:tc>
          <w:tcPr/>
          <w:p>
            <w:pPr>
              <w:pStyle w:val="Compact"/>
              <w:jc w:val="right"/>
            </w:pPr>
            <w:r>
              <w:t xml:space="preserve">% In range</w:t>
            </w:r>
          </w:p>
        </w:tc>
        <w:tc>
          <w:tcPr/>
          <w:p>
            <w:pPr>
              <w:pStyle w:val="Compact"/>
              <w:jc w:val="right"/>
            </w:pPr>
            <w:r>
              <w:t xml:space="preserve">% Above</w:t>
            </w:r>
          </w:p>
        </w:tc>
        <w:tc>
          <w:tcPr/>
          <w:p>
            <w:pPr>
              <w:pStyle w:val="Compact"/>
              <w:jc w:val="right"/>
            </w:pPr>
            <w:r>
              <w:t xml:space="preserve">% Below</w:t>
            </w:r>
          </w:p>
        </w:tc>
        <w:tc>
          <w:tcPr/>
          <w:p>
            <w:pPr>
              <w:pStyle w:val="Compact"/>
              <w:jc w:val="right"/>
            </w:pPr>
            <w:r>
              <w:t xml:space="preserve">% Outside detection</w:t>
            </w:r>
          </w:p>
        </w:tc>
      </w:tr>
      <w:tr>
        <w:tc>
          <w:tcPr/>
          <w:p>
            <w:pPr>
              <w:pStyle w:val="Compact"/>
              <w:jc w:val="left"/>
            </w:pPr>
            <w:r>
              <w:t xml:space="preserve">1</w:t>
            </w:r>
          </w:p>
        </w:tc>
        <w:tc>
          <w:tcPr/>
          <w:p>
            <w:pPr>
              <w:pStyle w:val="Compact"/>
              <w:jc w:val="left"/>
            </w:pPr>
            <w:r>
              <w:t xml:space="preserve">Chl-a (ug/L)</w:t>
            </w:r>
          </w:p>
        </w:tc>
        <w:tc>
          <w:tcPr/>
          <w:p>
            <w:pPr>
              <w:pStyle w:val="Compact"/>
              <w:jc w:val="left"/>
            </w:pPr>
            <w:r>
              <w:t xml:space="preserve">4.3 (1.1, 265.01)</w:t>
            </w:r>
          </w:p>
        </w:tc>
        <w:tc>
          <w:tcPr/>
          <w:p>
            <w:pPr>
              <w:pStyle w:val="Compact"/>
              <w:jc w:val="right"/>
            </w:pPr>
            <w:r>
              <w:t xml:space="preserve">485</w:t>
            </w:r>
          </w:p>
        </w:tc>
        <w:tc>
          <w:tcPr/>
          <w:p>
            <w:pPr>
              <w:pStyle w:val="Compact"/>
              <w:jc w:val="right"/>
            </w:pPr>
            <w:r>
              <w:t xml:space="preserve">44</w:t>
            </w:r>
          </w:p>
        </w:tc>
        <w:tc>
          <w:tcPr/>
          <w:p>
            <w:pPr>
              <w:pStyle w:val="Compact"/>
              <w:jc w:val="right"/>
            </w:pPr>
            <w:r>
              <w:t xml:space="preserve">50</w:t>
            </w:r>
          </w:p>
        </w:tc>
        <w:tc>
          <w:tcPr/>
          <w:p>
            <w:pPr>
              <w:pStyle w:val="Compact"/>
              <w:jc w:val="right"/>
            </w:pPr>
            <w:r>
              <w:t xml:space="preserve">6</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97.9 (28.3, 215.3)</w:t>
            </w:r>
          </w:p>
        </w:tc>
        <w:tc>
          <w:tcPr/>
          <w:p>
            <w:pPr>
              <w:pStyle w:val="Compact"/>
              <w:jc w:val="right"/>
            </w:pPr>
            <w:r>
              <w:t xml:space="preserve">430</w:t>
            </w:r>
          </w:p>
        </w:tc>
        <w:tc>
          <w:tcPr/>
          <w:p>
            <w:pPr>
              <w:pStyle w:val="Compact"/>
              <w:jc w:val="right"/>
            </w:pPr>
            <w:r>
              <w:t xml:space="preserve">30</w:t>
            </w:r>
          </w:p>
        </w:tc>
        <w:tc>
          <w:tcPr/>
          <w:p>
            <w:pPr>
              <w:pStyle w:val="Compact"/>
              <w:jc w:val="right"/>
            </w:pPr>
            <w:r>
              <w:t xml:space="preserve">53</w:t>
            </w:r>
          </w:p>
        </w:tc>
        <w:tc>
          <w:tcPr/>
          <w:p>
            <w:pPr>
              <w:pStyle w:val="Compact"/>
              <w:jc w:val="right"/>
            </w:pPr>
            <w:r>
              <w:t xml:space="preserve">17</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0.005 (0, 14.86)</w:t>
            </w:r>
          </w:p>
        </w:tc>
        <w:tc>
          <w:tcPr/>
          <w:p>
            <w:pPr>
              <w:pStyle w:val="Compact"/>
              <w:jc w:val="right"/>
            </w:pPr>
            <w:r>
              <w:t xml:space="preserve">495</w:t>
            </w:r>
          </w:p>
        </w:tc>
        <w:tc>
          <w:tcPr/>
          <w:p>
            <w:pPr>
              <w:pStyle w:val="Compact"/>
              <w:jc w:val="right"/>
            </w:pPr>
            <w:r>
              <w:t xml:space="preserve">65</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26</w:t>
            </w:r>
          </w:p>
        </w:tc>
      </w:tr>
      <w:tr>
        <w:tc>
          <w:tcPr/>
          <w:p>
            <w:pPr>
              <w:pStyle w:val="Compact"/>
            </w:pPr>
          </w:p>
        </w:tc>
        <w:tc>
          <w:tcPr/>
          <w:p>
            <w:pPr>
              <w:pStyle w:val="Compact"/>
              <w:jc w:val="left"/>
            </w:pPr>
            <w:r>
              <w:t xml:space="preserve">Nitrate/Nitrite (mg/L)</w:t>
            </w:r>
          </w:p>
        </w:tc>
        <w:tc>
          <w:tcPr/>
          <w:p>
            <w:pPr>
              <w:pStyle w:val="Compact"/>
              <w:jc w:val="left"/>
            </w:pPr>
            <w:r>
              <w:t xml:space="preserve">0 (0, 0.14352)</w:t>
            </w:r>
          </w:p>
        </w:tc>
        <w:tc>
          <w:tcPr/>
          <w:p>
            <w:pPr>
              <w:pStyle w:val="Compact"/>
              <w:jc w:val="right"/>
            </w:pPr>
            <w:r>
              <w:t xml:space="preserve">517</w:t>
            </w:r>
          </w:p>
        </w:tc>
        <w:tc>
          <w:tcPr/>
          <w:p>
            <w:pPr>
              <w:pStyle w:val="Compact"/>
              <w:jc w:val="right"/>
            </w:pPr>
            <w:r>
              <w:t xml:space="preserve">63</w:t>
            </w:r>
          </w:p>
        </w:tc>
        <w:tc>
          <w:tcPr/>
          <w:p>
            <w:pPr>
              <w:pStyle w:val="Compact"/>
              <w:jc w:val="right"/>
            </w:pPr>
            <w:r>
              <w:t xml:space="preserve">19</w:t>
            </w:r>
          </w:p>
        </w:tc>
        <w:tc>
          <w:tcPr/>
          <w:p>
            <w:pPr>
              <w:pStyle w:val="Compact"/>
              <w:jc w:val="right"/>
            </w:pPr>
            <w:r>
              <w:t xml:space="preserve">18</w:t>
            </w:r>
          </w:p>
        </w:tc>
        <w:tc>
          <w:tcPr/>
          <w:p>
            <w:pPr>
              <w:pStyle w:val="Compact"/>
              <w:jc w:val="right"/>
            </w:pPr>
            <w:r>
              <w:t xml:space="preserve">70</w:t>
            </w:r>
          </w:p>
        </w:tc>
      </w:tr>
      <w:tr>
        <w:tc>
          <w:tcPr/>
          <w:p>
            <w:pPr>
              <w:pStyle w:val="Compact"/>
            </w:pPr>
          </w:p>
        </w:tc>
        <w:tc>
          <w:tcPr/>
          <w:p>
            <w:pPr>
              <w:pStyle w:val="Compact"/>
              <w:jc w:val="left"/>
            </w:pPr>
            <w:r>
              <w:t xml:space="preserve">pH</w:t>
            </w:r>
          </w:p>
        </w:tc>
        <w:tc>
          <w:tcPr/>
          <w:p>
            <w:pPr>
              <w:pStyle w:val="Compact"/>
              <w:jc w:val="left"/>
            </w:pPr>
            <w:r>
              <w:t xml:space="preserve">8.1 (6.8, 9.1)</w:t>
            </w:r>
          </w:p>
        </w:tc>
        <w:tc>
          <w:tcPr/>
          <w:p>
            <w:pPr>
              <w:pStyle w:val="Compact"/>
              <w:jc w:val="right"/>
            </w:pPr>
            <w:r>
              <w:t xml:space="preserve">476</w:t>
            </w:r>
          </w:p>
        </w:tc>
        <w:tc>
          <w:tcPr/>
          <w:p>
            <w:pPr>
              <w:pStyle w:val="Compact"/>
              <w:jc w:val="right"/>
            </w:pPr>
            <w:r>
              <w:t xml:space="preserve">58</w:t>
            </w:r>
          </w:p>
        </w:tc>
        <w:tc>
          <w:tcPr/>
          <w:p>
            <w:pPr>
              <w:pStyle w:val="Compact"/>
              <w:jc w:val="right"/>
            </w:pPr>
            <w:r>
              <w:t xml:space="preserve">29</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30.2 (12.9, 34.6)</w:t>
            </w:r>
          </w:p>
        </w:tc>
        <w:tc>
          <w:tcPr/>
          <w:p>
            <w:pPr>
              <w:pStyle w:val="Compact"/>
              <w:jc w:val="right"/>
            </w:pPr>
            <w:r>
              <w:t xml:space="preserve">441</w:t>
            </w:r>
          </w:p>
        </w:tc>
        <w:tc>
          <w:tcPr/>
          <w:p>
            <w:pPr>
              <w:pStyle w:val="Compact"/>
              <w:jc w:val="right"/>
            </w:pPr>
            <w:r>
              <w:t xml:space="preserve">83</w:t>
            </w:r>
          </w:p>
        </w:tc>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2.4 (0.4, 9.5)</w:t>
            </w:r>
          </w:p>
        </w:tc>
        <w:tc>
          <w:tcPr/>
          <w:p>
            <w:pPr>
              <w:pStyle w:val="Compact"/>
              <w:jc w:val="right"/>
            </w:pPr>
            <w:r>
              <w:t xml:space="preserve">350</w:t>
            </w:r>
          </w:p>
        </w:tc>
        <w:tc>
          <w:tcPr/>
          <w:p>
            <w:pPr>
              <w:pStyle w:val="Compact"/>
              <w:jc w:val="right"/>
            </w:pPr>
            <w:r>
              <w:t xml:space="preserve">37</w:t>
            </w:r>
          </w:p>
        </w:tc>
        <w:tc>
          <w:tcPr/>
          <w:p>
            <w:pPr>
              <w:pStyle w:val="Compact"/>
              <w:jc w:val="right"/>
            </w:pPr>
            <w:r>
              <w:t xml:space="preserve">22</w:t>
            </w:r>
          </w:p>
        </w:tc>
        <w:tc>
          <w:tcPr/>
          <w:p>
            <w:pPr>
              <w:pStyle w:val="Compact"/>
              <w:jc w:val="right"/>
            </w:pPr>
            <w:r>
              <w:t xml:space="preserve">41</w:t>
            </w:r>
          </w:p>
        </w:tc>
        <w:tc>
          <w:tcPr/>
          <w:p>
            <w:pPr>
              <w:pStyle w:val="Compact"/>
              <w:jc w:val="right"/>
            </w:pPr>
            <w:r>
              <w:t xml:space="preserve">25</w:t>
            </w:r>
          </w:p>
        </w:tc>
      </w:tr>
      <w:tr>
        <w:tc>
          <w:tcPr/>
          <w:p>
            <w:pPr>
              <w:pStyle w:val="Compact"/>
            </w:pPr>
          </w:p>
        </w:tc>
        <w:tc>
          <w:tcPr/>
          <w:p>
            <w:pPr>
              <w:pStyle w:val="Compact"/>
              <w:jc w:val="left"/>
            </w:pPr>
            <w:r>
              <w:t xml:space="preserve">Temp (C)</w:t>
            </w:r>
          </w:p>
        </w:tc>
        <w:tc>
          <w:tcPr/>
          <w:p>
            <w:pPr>
              <w:pStyle w:val="Compact"/>
              <w:jc w:val="left"/>
            </w:pPr>
            <w:r>
              <w:t xml:space="preserve">25.5 (19.6, 32.9)</w:t>
            </w:r>
          </w:p>
        </w:tc>
        <w:tc>
          <w:tcPr/>
          <w:p>
            <w:pPr>
              <w:pStyle w:val="Compact"/>
              <w:jc w:val="right"/>
            </w:pPr>
            <w:r>
              <w:t xml:space="preserve">442</w:t>
            </w:r>
          </w:p>
        </w:tc>
        <w:tc>
          <w:tcPr/>
          <w:p>
            <w:pPr>
              <w:pStyle w:val="Compact"/>
              <w:jc w:val="right"/>
            </w:pPr>
            <w:r>
              <w:t xml:space="preserve">66</w:t>
            </w:r>
          </w:p>
        </w:tc>
        <w:tc>
          <w:tcPr/>
          <w:p>
            <w:pPr>
              <w:pStyle w:val="Compact"/>
              <w:jc w:val="right"/>
            </w:pPr>
            <w:r>
              <w:t xml:space="preserve">15</w:t>
            </w:r>
          </w:p>
        </w:tc>
        <w:tc>
          <w:tcPr/>
          <w:p>
            <w:pPr>
              <w:pStyle w:val="Compact"/>
              <w:jc w:val="right"/>
            </w:pPr>
            <w:r>
              <w:t xml:space="preserve">19</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0.41 (0.178, 5.6)</w:t>
            </w:r>
          </w:p>
        </w:tc>
        <w:tc>
          <w:tcPr/>
          <w:p>
            <w:pPr>
              <w:pStyle w:val="Compact"/>
              <w:jc w:val="right"/>
            </w:pPr>
            <w:r>
              <w:t xml:space="preserve">429</w:t>
            </w:r>
          </w:p>
        </w:tc>
        <w:tc>
          <w:tcPr/>
          <w:p>
            <w:pPr>
              <w:pStyle w:val="Compact"/>
              <w:jc w:val="right"/>
            </w:pPr>
            <w:r>
              <w:t xml:space="preserve">58</w:t>
            </w:r>
          </w:p>
        </w:tc>
        <w:tc>
          <w:tcPr/>
          <w:p>
            <w:pPr>
              <w:pStyle w:val="Compact"/>
              <w:jc w:val="right"/>
            </w:pPr>
            <w:r>
              <w:t xml:space="preserve">37</w:t>
            </w:r>
          </w:p>
        </w:tc>
        <w:tc>
          <w:tcPr/>
          <w:p>
            <w:pPr>
              <w:pStyle w:val="Compact"/>
              <w:jc w:val="right"/>
            </w:pPr>
            <w:r>
              <w:t xml:space="preserve">4</w:t>
            </w:r>
          </w:p>
        </w:tc>
        <w:tc>
          <w:tcPr/>
          <w:p>
            <w:pPr>
              <w:pStyle w:val="Compact"/>
              <w:jc w:val="right"/>
            </w:pPr>
            <w:r>
              <w:t xml:space="preserve">4</w:t>
            </w:r>
          </w:p>
        </w:tc>
      </w:tr>
      <w:tr>
        <w:tc>
          <w:tcPr/>
          <w:p>
            <w:pPr>
              <w:pStyle w:val="Compact"/>
            </w:pPr>
          </w:p>
        </w:tc>
        <w:tc>
          <w:tcPr/>
          <w:p>
            <w:pPr>
              <w:pStyle w:val="Compact"/>
              <w:jc w:val="left"/>
            </w:pPr>
            <w:r>
              <w:t xml:space="preserve">TP (mg/L)</w:t>
            </w:r>
          </w:p>
        </w:tc>
        <w:tc>
          <w:tcPr/>
          <w:p>
            <w:pPr>
              <w:pStyle w:val="Compact"/>
              <w:jc w:val="left"/>
            </w:pPr>
            <w:r>
              <w:t xml:space="preserve">0.12 (0.019, 3.9)</w:t>
            </w:r>
          </w:p>
        </w:tc>
        <w:tc>
          <w:tcPr/>
          <w:p>
            <w:pPr>
              <w:pStyle w:val="Compact"/>
              <w:jc w:val="right"/>
            </w:pPr>
            <w:r>
              <w:t xml:space="preserve">485</w:t>
            </w:r>
          </w:p>
        </w:tc>
        <w:tc>
          <w:tcPr/>
          <w:p>
            <w:pPr>
              <w:pStyle w:val="Compact"/>
              <w:jc w:val="right"/>
            </w:pPr>
            <w:r>
              <w:t xml:space="preserve">81</w:t>
            </w:r>
          </w:p>
        </w:tc>
        <w:tc>
          <w:tcPr/>
          <w:p>
            <w:pPr>
              <w:pStyle w:val="Compact"/>
              <w:jc w:val="right"/>
            </w:pPr>
            <w:r>
              <w:t xml:space="preserve">15</w:t>
            </w:r>
          </w:p>
        </w:tc>
        <w:tc>
          <w:tcPr/>
          <w:p>
            <w:pPr>
              <w:pStyle w:val="Compact"/>
              <w:jc w:val="right"/>
            </w:pPr>
            <w:r>
              <w:t xml:space="preserve">4</w:t>
            </w:r>
          </w:p>
        </w:tc>
        <w:tc>
          <w:tcPr/>
          <w:p>
            <w:pPr>
              <w:pStyle w:val="Compact"/>
              <w:jc w:val="right"/>
            </w:pPr>
            <w:r>
              <w:t xml:space="preserve">1</w:t>
            </w:r>
          </w:p>
        </w:tc>
      </w:tr>
      <w:tr>
        <w:tc>
          <w:tcPr/>
          <w:p>
            <w:pPr>
              <w:pStyle w:val="Compact"/>
              <w:jc w:val="left"/>
            </w:pPr>
            <w:r>
              <w:t xml:space="preserve">2</w:t>
            </w:r>
          </w:p>
        </w:tc>
        <w:tc>
          <w:tcPr/>
          <w:p>
            <w:pPr>
              <w:pStyle w:val="Compact"/>
              <w:jc w:val="left"/>
            </w:pPr>
            <w:r>
              <w:t xml:space="preserve">Chl-a (ug/L)</w:t>
            </w:r>
          </w:p>
        </w:tc>
        <w:tc>
          <w:tcPr/>
          <w:p>
            <w:pPr>
              <w:pStyle w:val="Compact"/>
              <w:jc w:val="left"/>
            </w:pPr>
            <w:r>
              <w:t xml:space="preserve">2.7 (1.08, 42)</w:t>
            </w:r>
          </w:p>
        </w:tc>
        <w:tc>
          <w:tcPr/>
          <w:p>
            <w:pPr>
              <w:pStyle w:val="Compact"/>
              <w:jc w:val="right"/>
            </w:pPr>
            <w:r>
              <w:t xml:space="preserve">78</w:t>
            </w:r>
          </w:p>
        </w:tc>
        <w:tc>
          <w:tcPr/>
          <w:p>
            <w:pPr>
              <w:pStyle w:val="Compact"/>
              <w:jc w:val="right"/>
            </w:pPr>
            <w:r>
              <w:t xml:space="preserve">62</w:t>
            </w:r>
          </w:p>
        </w:tc>
        <w:tc>
          <w:tcPr/>
          <w:p>
            <w:pPr>
              <w:pStyle w:val="Compact"/>
              <w:jc w:val="right"/>
            </w:pPr>
            <w:r>
              <w:t xml:space="preserve">8</w:t>
            </w:r>
          </w:p>
        </w:tc>
        <w:tc>
          <w:tcPr/>
          <w:p>
            <w:pPr>
              <w:pStyle w:val="Compact"/>
              <w:jc w:val="right"/>
            </w:pPr>
            <w:r>
              <w:t xml:space="preserve">31</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95 (60.6, 153.3)</w:t>
            </w:r>
          </w:p>
        </w:tc>
        <w:tc>
          <w:tcPr/>
          <w:p>
            <w:pPr>
              <w:pStyle w:val="Compact"/>
              <w:jc w:val="right"/>
            </w:pPr>
            <w:r>
              <w:t xml:space="preserve">73</w:t>
            </w:r>
          </w:p>
        </w:tc>
        <w:tc>
          <w:tcPr/>
          <w:p>
            <w:pPr>
              <w:pStyle w:val="Compact"/>
              <w:jc w:val="right"/>
            </w:pPr>
            <w:r>
              <w:t xml:space="preserve">42</w:t>
            </w:r>
          </w:p>
        </w:tc>
        <w:tc>
          <w:tcPr/>
          <w:p>
            <w:pPr>
              <w:pStyle w:val="Compact"/>
              <w:jc w:val="right"/>
            </w:pPr>
            <w:r>
              <w:t xml:space="preserve">44</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0.004 (0.002, 0.071)</w:t>
            </w:r>
          </w:p>
        </w:tc>
        <w:tc>
          <w:tcPr/>
          <w:p>
            <w:pPr>
              <w:pStyle w:val="Compact"/>
              <w:jc w:val="right"/>
            </w:pPr>
            <w:r>
              <w:t xml:space="preserve">76</w:t>
            </w:r>
          </w:p>
        </w:tc>
        <w:tc>
          <w:tcPr/>
          <w:p>
            <w:pPr>
              <w:pStyle w:val="Compact"/>
              <w:jc w:val="right"/>
            </w:pPr>
            <w:r>
              <w:t xml:space="preserve">86</w:t>
            </w:r>
          </w:p>
        </w:tc>
        <w:tc>
          <w:tcPr/>
          <w:p>
            <w:pPr>
              <w:pStyle w:val="Compact"/>
              <w:jc w:val="right"/>
            </w:pPr>
            <w:r>
              <w:t xml:space="preserve">1</w:t>
            </w:r>
          </w:p>
        </w:tc>
        <w:tc>
          <w:tcPr/>
          <w:p>
            <w:pPr>
              <w:pStyle w:val="Compact"/>
              <w:jc w:val="right"/>
            </w:pPr>
            <w:r>
              <w:t xml:space="preserve">13</w:t>
            </w:r>
          </w:p>
        </w:tc>
        <w:tc>
          <w:tcPr/>
          <w:p>
            <w:pPr>
              <w:pStyle w:val="Compact"/>
              <w:jc w:val="right"/>
            </w:pPr>
            <w:r>
              <w:t xml:space="preserve">21</w:t>
            </w:r>
          </w:p>
        </w:tc>
      </w:tr>
      <w:tr>
        <w:tc>
          <w:tcPr/>
          <w:p>
            <w:pPr>
              <w:pStyle w:val="Compact"/>
            </w:pPr>
          </w:p>
        </w:tc>
        <w:tc>
          <w:tcPr/>
          <w:p>
            <w:pPr>
              <w:pStyle w:val="Compact"/>
              <w:jc w:val="left"/>
            </w:pPr>
            <w:r>
              <w:t xml:space="preserve">Nitrate/Nitrite (mg/L)</w:t>
            </w:r>
          </w:p>
        </w:tc>
        <w:tc>
          <w:tcPr/>
          <w:p>
            <w:pPr>
              <w:pStyle w:val="Compact"/>
              <w:jc w:val="left"/>
            </w:pPr>
            <w:r>
              <w:t xml:space="preserve">- (0.00078, 0.037)</w:t>
            </w:r>
          </w:p>
        </w:tc>
        <w:tc>
          <w:tcPr/>
          <w:p>
            <w:pPr>
              <w:pStyle w:val="Compact"/>
              <w:jc w:val="right"/>
            </w:pPr>
            <w:r>
              <w:t xml:space="preserve">87</w:t>
            </w:r>
          </w:p>
        </w:tc>
        <w:tc>
          <w:tcPr/>
          <w:p>
            <w:pPr>
              <w:pStyle w:val="Compact"/>
              <w:jc w:val="right"/>
            </w:pPr>
            <w:r>
              <w:t xml:space="preserve">63</w:t>
            </w:r>
          </w:p>
        </w:tc>
        <w:tc>
          <w:tcPr/>
          <w:p>
            <w:pPr>
              <w:pStyle w:val="Compact"/>
              <w:jc w:val="right"/>
            </w:pPr>
            <w:r>
              <w:t xml:space="preserve">18</w:t>
            </w:r>
          </w:p>
        </w:tc>
        <w:tc>
          <w:tcPr/>
          <w:p>
            <w:pPr>
              <w:pStyle w:val="Compact"/>
              <w:jc w:val="right"/>
            </w:pPr>
            <w:r>
              <w:t xml:space="preserve">18</w:t>
            </w:r>
          </w:p>
        </w:tc>
        <w:tc>
          <w:tcPr/>
          <w:p>
            <w:pPr>
              <w:pStyle w:val="Compact"/>
              <w:jc w:val="right"/>
            </w:pPr>
            <w:r>
              <w:t xml:space="preserve">79</w:t>
            </w:r>
          </w:p>
        </w:tc>
      </w:tr>
      <w:tr>
        <w:tc>
          <w:tcPr/>
          <w:p>
            <w:pPr>
              <w:pStyle w:val="Compact"/>
            </w:pPr>
          </w:p>
        </w:tc>
        <w:tc>
          <w:tcPr/>
          <w:p>
            <w:pPr>
              <w:pStyle w:val="Compact"/>
              <w:jc w:val="left"/>
            </w:pPr>
            <w:r>
              <w:t xml:space="preserve">pH</w:t>
            </w:r>
          </w:p>
        </w:tc>
        <w:tc>
          <w:tcPr/>
          <w:p>
            <w:pPr>
              <w:pStyle w:val="Compact"/>
              <w:jc w:val="left"/>
            </w:pPr>
            <w:r>
              <w:t xml:space="preserve">8 (7.3, 8.6)</w:t>
            </w:r>
          </w:p>
        </w:tc>
        <w:tc>
          <w:tcPr/>
          <w:p>
            <w:pPr>
              <w:pStyle w:val="Compact"/>
              <w:jc w:val="right"/>
            </w:pPr>
            <w:r>
              <w:t xml:space="preserve">92</w:t>
            </w:r>
          </w:p>
        </w:tc>
        <w:tc>
          <w:tcPr/>
          <w:p>
            <w:pPr>
              <w:pStyle w:val="Compact"/>
              <w:jc w:val="right"/>
            </w:pPr>
            <w:r>
              <w:t xml:space="preserve">72</w:t>
            </w:r>
          </w:p>
        </w:tc>
        <w:tc>
          <w:tcPr/>
          <w:p>
            <w:pPr>
              <w:pStyle w:val="Compact"/>
              <w:jc w:val="right"/>
            </w:pPr>
            <w:r>
              <w:t xml:space="preserve">16</w:t>
            </w:r>
          </w:p>
        </w:tc>
        <w:tc>
          <w:tcPr/>
          <w:p>
            <w:pPr>
              <w:pStyle w:val="Compact"/>
              <w:jc w:val="right"/>
            </w:pPr>
            <w:r>
              <w:t xml:space="preserve">12</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27.3 (18.1, 32.3)</w:t>
            </w:r>
          </w:p>
        </w:tc>
        <w:tc>
          <w:tcPr/>
          <w:p>
            <w:pPr>
              <w:pStyle w:val="Compact"/>
              <w:jc w:val="right"/>
            </w:pPr>
            <w:r>
              <w:t xml:space="preserve">73</w:t>
            </w:r>
          </w:p>
        </w:tc>
        <w:tc>
          <w:tcPr/>
          <w:p>
            <w:pPr>
              <w:pStyle w:val="Compact"/>
              <w:jc w:val="right"/>
            </w:pPr>
            <w:r>
              <w:t xml:space="preserve">90</w:t>
            </w:r>
          </w:p>
        </w:tc>
        <w:tc>
          <w:tcPr/>
          <w:p>
            <w:pPr>
              <w:pStyle w:val="Compact"/>
              <w:jc w:val="right"/>
            </w:pPr>
            <w:r>
              <w:t xml:space="preserve">0</w:t>
            </w:r>
          </w:p>
        </w:tc>
        <w:tc>
          <w:tcPr/>
          <w:p>
            <w:pPr>
              <w:pStyle w:val="Compact"/>
              <w:jc w:val="right"/>
            </w:pPr>
            <w:r>
              <w:t xml:space="preserve">10</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 (0.5, 3.5)</w:t>
            </w:r>
          </w:p>
        </w:tc>
        <w:tc>
          <w:tcPr/>
          <w:p>
            <w:pPr>
              <w:pStyle w:val="Compact"/>
              <w:jc w:val="right"/>
            </w:pPr>
            <w:r>
              <w:t xml:space="preserve">44</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18</w:t>
            </w:r>
          </w:p>
        </w:tc>
        <w:tc>
          <w:tcPr/>
          <w:p>
            <w:pPr>
              <w:pStyle w:val="Compact"/>
              <w:jc w:val="right"/>
            </w:pPr>
            <w:r>
              <w:t xml:space="preserve">39</w:t>
            </w:r>
          </w:p>
        </w:tc>
      </w:tr>
      <w:tr>
        <w:tc>
          <w:tcPr/>
          <w:p>
            <w:pPr>
              <w:pStyle w:val="Compact"/>
            </w:pPr>
          </w:p>
        </w:tc>
        <w:tc>
          <w:tcPr/>
          <w:p>
            <w:pPr>
              <w:pStyle w:val="Compact"/>
              <w:jc w:val="left"/>
            </w:pPr>
            <w:r>
              <w:t xml:space="preserve">Temp (C)</w:t>
            </w:r>
          </w:p>
        </w:tc>
        <w:tc>
          <w:tcPr/>
          <w:p>
            <w:pPr>
              <w:pStyle w:val="Compact"/>
              <w:jc w:val="left"/>
            </w:pPr>
            <w:r>
              <w:t xml:space="preserve">25.3 (19.9, 31.6)</w:t>
            </w:r>
          </w:p>
        </w:tc>
        <w:tc>
          <w:tcPr/>
          <w:p>
            <w:pPr>
              <w:pStyle w:val="Compact"/>
              <w:jc w:val="right"/>
            </w:pPr>
            <w:r>
              <w:t xml:space="preserve">73</w:t>
            </w:r>
          </w:p>
        </w:tc>
        <w:tc>
          <w:tcPr/>
          <w:p>
            <w:pPr>
              <w:pStyle w:val="Compact"/>
              <w:jc w:val="right"/>
            </w:pPr>
            <w:r>
              <w:t xml:space="preserve">73</w:t>
            </w:r>
          </w:p>
        </w:tc>
        <w:tc>
          <w:tcPr/>
          <w:p>
            <w:pPr>
              <w:pStyle w:val="Compact"/>
              <w:jc w:val="right"/>
            </w:pPr>
            <w:r>
              <w:t xml:space="preserve">7</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0.344 (0.068, 1.13)</w:t>
            </w:r>
          </w:p>
        </w:tc>
        <w:tc>
          <w:tcPr/>
          <w:p>
            <w:pPr>
              <w:pStyle w:val="Compact"/>
              <w:jc w:val="right"/>
            </w:pPr>
            <w:r>
              <w:t xml:space="preserve">63</w:t>
            </w:r>
          </w:p>
        </w:tc>
        <w:tc>
          <w:tcPr/>
          <w:p>
            <w:pPr>
              <w:pStyle w:val="Compact"/>
              <w:jc w:val="right"/>
            </w:pPr>
            <w:r>
              <w:t xml:space="preserve">65</w:t>
            </w:r>
          </w:p>
        </w:tc>
        <w:tc>
          <w:tcPr/>
          <w:p>
            <w:pPr>
              <w:pStyle w:val="Compact"/>
              <w:jc w:val="right"/>
            </w:pPr>
            <w:r>
              <w:t xml:space="preserve">22</w:t>
            </w:r>
          </w:p>
        </w:tc>
        <w:tc>
          <w:tcPr/>
          <w:p>
            <w:pPr>
              <w:pStyle w:val="Compact"/>
              <w:jc w:val="right"/>
            </w:pPr>
            <w:r>
              <w:t xml:space="preserve">13</w:t>
            </w:r>
          </w:p>
        </w:tc>
        <w:tc>
          <w:tcPr/>
          <w:p>
            <w:pPr>
              <w:pStyle w:val="Compact"/>
              <w:jc w:val="right"/>
            </w:pPr>
            <w:r>
              <w:t xml:space="preserve">14</w:t>
            </w:r>
          </w:p>
        </w:tc>
      </w:tr>
      <w:tr>
        <w:tc>
          <w:tcPr/>
          <w:p>
            <w:pPr>
              <w:pStyle w:val="Compact"/>
            </w:pPr>
          </w:p>
        </w:tc>
        <w:tc>
          <w:tcPr/>
          <w:p>
            <w:pPr>
              <w:pStyle w:val="Compact"/>
              <w:jc w:val="left"/>
            </w:pPr>
            <w:r>
              <w:t xml:space="preserve">TP (mg/L)</w:t>
            </w:r>
          </w:p>
        </w:tc>
        <w:tc>
          <w:tcPr/>
          <w:p>
            <w:pPr>
              <w:pStyle w:val="Compact"/>
              <w:jc w:val="left"/>
            </w:pPr>
            <w:r>
              <w:t xml:space="preserve">0.1 (0.05, 0.235)</w:t>
            </w:r>
          </w:p>
        </w:tc>
        <w:tc>
          <w:tcPr/>
          <w:p>
            <w:pPr>
              <w:pStyle w:val="Compact"/>
              <w:jc w:val="right"/>
            </w:pPr>
            <w:r>
              <w:t xml:space="preserve">67</w:t>
            </w:r>
          </w:p>
        </w:tc>
        <w:tc>
          <w:tcPr/>
          <w:p>
            <w:pPr>
              <w:pStyle w:val="Compact"/>
              <w:jc w:val="right"/>
            </w:pPr>
            <w:r>
              <w:t xml:space="preserve">58</w:t>
            </w:r>
          </w:p>
        </w:tc>
        <w:tc>
          <w:tcPr/>
          <w:p>
            <w:pPr>
              <w:pStyle w:val="Compact"/>
              <w:jc w:val="right"/>
            </w:pPr>
            <w:r>
              <w:t xml:space="preserve">12</w:t>
            </w:r>
          </w:p>
        </w:tc>
        <w:tc>
          <w:tcPr/>
          <w:p>
            <w:pPr>
              <w:pStyle w:val="Compact"/>
              <w:jc w:val="right"/>
            </w:pPr>
            <w:r>
              <w:t xml:space="preserve">30</w:t>
            </w:r>
          </w:p>
        </w:tc>
        <w:tc>
          <w:tcPr/>
          <w:p>
            <w:pPr>
              <w:pStyle w:val="Compact"/>
              <w:jc w:val="right"/>
            </w:pPr>
            <w:r>
              <w:t xml:space="preserve">0</w:t>
            </w:r>
          </w:p>
        </w:tc>
      </w:tr>
      <w:tr>
        <w:tc>
          <w:tcPr/>
          <w:p>
            <w:pPr>
              <w:pStyle w:val="Compact"/>
              <w:jc w:val="left"/>
            </w:pPr>
            <w:r>
              <w:t xml:space="preserve">3</w:t>
            </w:r>
          </w:p>
        </w:tc>
        <w:tc>
          <w:tcPr/>
          <w:p>
            <w:pPr>
              <w:pStyle w:val="Compact"/>
              <w:jc w:val="left"/>
            </w:pPr>
            <w:r>
              <w:t xml:space="preserve">Chl-a (ug/L)</w:t>
            </w:r>
          </w:p>
        </w:tc>
        <w:tc>
          <w:tcPr/>
          <w:p>
            <w:pPr>
              <w:pStyle w:val="Compact"/>
              <w:jc w:val="left"/>
            </w:pPr>
            <w:r>
              <w:t xml:space="preserve">2.9 (0.93, 25.9)</w:t>
            </w:r>
          </w:p>
        </w:tc>
        <w:tc>
          <w:tcPr/>
          <w:p>
            <w:pPr>
              <w:pStyle w:val="Compact"/>
              <w:jc w:val="right"/>
            </w:pPr>
            <w:r>
              <w:t xml:space="preserve">254</w:t>
            </w:r>
          </w:p>
        </w:tc>
        <w:tc>
          <w:tcPr/>
          <w:p>
            <w:pPr>
              <w:pStyle w:val="Compact"/>
              <w:jc w:val="right"/>
            </w:pPr>
            <w:r>
              <w:t xml:space="preserve">69</w:t>
            </w:r>
          </w:p>
        </w:tc>
        <w:tc>
          <w:tcPr/>
          <w:p>
            <w:pPr>
              <w:pStyle w:val="Compact"/>
              <w:jc w:val="right"/>
            </w:pPr>
            <w:r>
              <w:t xml:space="preserve">23</w:t>
            </w:r>
          </w:p>
        </w:tc>
        <w:tc>
          <w:tcPr/>
          <w:p>
            <w:pPr>
              <w:pStyle w:val="Compact"/>
              <w:jc w:val="right"/>
            </w:pPr>
            <w:r>
              <w:t xml:space="preserve">8</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98.7 (42.4, 229.9)</w:t>
            </w:r>
          </w:p>
        </w:tc>
        <w:tc>
          <w:tcPr/>
          <w:p>
            <w:pPr>
              <w:pStyle w:val="Compact"/>
              <w:jc w:val="right"/>
            </w:pPr>
            <w:r>
              <w:t xml:space="preserve">223</w:t>
            </w:r>
          </w:p>
        </w:tc>
        <w:tc>
          <w:tcPr/>
          <w:p>
            <w:pPr>
              <w:pStyle w:val="Compact"/>
              <w:jc w:val="right"/>
            </w:pPr>
            <w:r>
              <w:t xml:space="preserve">54</w:t>
            </w:r>
          </w:p>
        </w:tc>
        <w:tc>
          <w:tcPr/>
          <w:p>
            <w:pPr>
              <w:pStyle w:val="Compact"/>
              <w:jc w:val="right"/>
            </w:pPr>
            <w:r>
              <w:t xml:space="preserve">26</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0.003 (0.002, 0.041)</w:t>
            </w:r>
          </w:p>
        </w:tc>
        <w:tc>
          <w:tcPr/>
          <w:p>
            <w:pPr>
              <w:pStyle w:val="Compact"/>
              <w:jc w:val="right"/>
            </w:pPr>
            <w:r>
              <w:t xml:space="preserve">248</w:t>
            </w:r>
          </w:p>
        </w:tc>
        <w:tc>
          <w:tcPr/>
          <w:p>
            <w:pPr>
              <w:pStyle w:val="Compact"/>
              <w:jc w:val="right"/>
            </w:pPr>
            <w:r>
              <w:t xml:space="preserve">56</w:t>
            </w:r>
          </w:p>
        </w:tc>
        <w:tc>
          <w:tcPr/>
          <w:p>
            <w:pPr>
              <w:pStyle w:val="Compact"/>
              <w:jc w:val="right"/>
            </w:pPr>
            <w:r>
              <w:t xml:space="preserve">0</w:t>
            </w:r>
          </w:p>
        </w:tc>
        <w:tc>
          <w:tcPr/>
          <w:p>
            <w:pPr>
              <w:pStyle w:val="Compact"/>
              <w:jc w:val="right"/>
            </w:pPr>
            <w:r>
              <w:t xml:space="preserve">44</w:t>
            </w:r>
          </w:p>
        </w:tc>
        <w:tc>
          <w:tcPr/>
          <w:p>
            <w:pPr>
              <w:pStyle w:val="Compact"/>
              <w:jc w:val="right"/>
            </w:pPr>
            <w:r>
              <w:t xml:space="preserve">50</w:t>
            </w:r>
          </w:p>
        </w:tc>
      </w:tr>
      <w:tr>
        <w:tc>
          <w:tcPr/>
          <w:p>
            <w:pPr>
              <w:pStyle w:val="Compact"/>
            </w:pPr>
          </w:p>
        </w:tc>
        <w:tc>
          <w:tcPr/>
          <w:p>
            <w:pPr>
              <w:pStyle w:val="Compact"/>
              <w:jc w:val="left"/>
            </w:pPr>
            <w:r>
              <w:t xml:space="preserve">Nitrate/Nitrite (mg/L)</w:t>
            </w:r>
          </w:p>
        </w:tc>
        <w:tc>
          <w:tcPr/>
          <w:p>
            <w:pPr>
              <w:pStyle w:val="Compact"/>
              <w:jc w:val="left"/>
            </w:pPr>
            <w:r>
              <w:t xml:space="preserve">- (0.00078, 0.046)</w:t>
            </w:r>
          </w:p>
        </w:tc>
        <w:tc>
          <w:tcPr/>
          <w:p>
            <w:pPr>
              <w:pStyle w:val="Compact"/>
              <w:jc w:val="right"/>
            </w:pPr>
            <w:r>
              <w:t xml:space="preserve">267</w:t>
            </w:r>
          </w:p>
        </w:tc>
        <w:tc>
          <w:tcPr/>
          <w:p>
            <w:pPr>
              <w:pStyle w:val="Compact"/>
              <w:jc w:val="right"/>
            </w:pPr>
            <w:r>
              <w:t xml:space="preserve">60</w:t>
            </w:r>
          </w:p>
        </w:tc>
        <w:tc>
          <w:tcPr/>
          <w:p>
            <w:pPr>
              <w:pStyle w:val="Compact"/>
              <w:jc w:val="right"/>
            </w:pPr>
            <w:r>
              <w:t xml:space="preserve">9</w:t>
            </w:r>
          </w:p>
        </w:tc>
        <w:tc>
          <w:tcPr/>
          <w:p>
            <w:pPr>
              <w:pStyle w:val="Compact"/>
              <w:jc w:val="right"/>
            </w:pPr>
            <w:r>
              <w:t xml:space="preserve">31</w:t>
            </w:r>
          </w:p>
        </w:tc>
        <w:tc>
          <w:tcPr/>
          <w:p>
            <w:pPr>
              <w:pStyle w:val="Compact"/>
              <w:jc w:val="right"/>
            </w:pPr>
            <w:r>
              <w:t xml:space="preserve">89</w:t>
            </w:r>
          </w:p>
        </w:tc>
      </w:tr>
      <w:tr>
        <w:tc>
          <w:tcPr/>
          <w:p>
            <w:pPr>
              <w:pStyle w:val="Compact"/>
            </w:pPr>
          </w:p>
        </w:tc>
        <w:tc>
          <w:tcPr/>
          <w:p>
            <w:pPr>
              <w:pStyle w:val="Compact"/>
              <w:jc w:val="left"/>
            </w:pPr>
            <w:r>
              <w:t xml:space="preserve">pH</w:t>
            </w:r>
          </w:p>
        </w:tc>
        <w:tc>
          <w:tcPr/>
          <w:p>
            <w:pPr>
              <w:pStyle w:val="Compact"/>
              <w:jc w:val="left"/>
            </w:pPr>
            <w:r>
              <w:t xml:space="preserve">8.1 (6.2, 9.8)</w:t>
            </w:r>
          </w:p>
        </w:tc>
        <w:tc>
          <w:tcPr/>
          <w:p>
            <w:pPr>
              <w:pStyle w:val="Compact"/>
              <w:jc w:val="right"/>
            </w:pPr>
            <w:r>
              <w:t xml:space="preserve">245</w:t>
            </w:r>
          </w:p>
        </w:tc>
        <w:tc>
          <w:tcPr/>
          <w:p>
            <w:pPr>
              <w:pStyle w:val="Compact"/>
              <w:jc w:val="right"/>
            </w:pPr>
            <w:r>
              <w:t xml:space="preserve">70</w:t>
            </w:r>
          </w:p>
        </w:tc>
        <w:tc>
          <w:tcPr/>
          <w:p>
            <w:pPr>
              <w:pStyle w:val="Compact"/>
              <w:jc w:val="right"/>
            </w:pPr>
            <w:r>
              <w:t xml:space="preserve">21</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31.8 (1.4, 36.5)</w:t>
            </w:r>
          </w:p>
        </w:tc>
        <w:tc>
          <w:tcPr/>
          <w:p>
            <w:pPr>
              <w:pStyle w:val="Compact"/>
              <w:jc w:val="right"/>
            </w:pPr>
            <w:r>
              <w:t xml:space="preserve">294</w:t>
            </w:r>
          </w:p>
        </w:tc>
        <w:tc>
          <w:tcPr/>
          <w:p>
            <w:pPr>
              <w:pStyle w:val="Compact"/>
              <w:jc w:val="right"/>
            </w:pPr>
            <w:r>
              <w:t xml:space="preserve">81</w:t>
            </w:r>
          </w:p>
        </w:tc>
        <w:tc>
          <w:tcPr/>
          <w:p>
            <w:pPr>
              <w:pStyle w:val="Compact"/>
              <w:jc w:val="right"/>
            </w:pPr>
            <w:r>
              <w:t xml:space="preserve">7</w:t>
            </w:r>
          </w:p>
        </w:tc>
        <w:tc>
          <w:tcPr/>
          <w:p>
            <w:pPr>
              <w:pStyle w:val="Compact"/>
              <w:jc w:val="right"/>
            </w:pPr>
            <w:r>
              <w:t xml:space="preserve">11</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1.9 (0.2, 5.5)</w:t>
            </w:r>
          </w:p>
        </w:tc>
        <w:tc>
          <w:tcPr/>
          <w:p>
            <w:pPr>
              <w:pStyle w:val="Compact"/>
              <w:jc w:val="right"/>
            </w:pPr>
            <w:r>
              <w:t xml:space="preserve">225</w:t>
            </w:r>
          </w:p>
        </w:tc>
        <w:tc>
          <w:tcPr/>
          <w:p>
            <w:pPr>
              <w:pStyle w:val="Compact"/>
              <w:jc w:val="right"/>
            </w:pPr>
            <w:r>
              <w:t xml:space="preserve">44</w:t>
            </w:r>
          </w:p>
        </w:tc>
        <w:tc>
          <w:tcPr/>
          <w:p>
            <w:pPr>
              <w:pStyle w:val="Compact"/>
              <w:jc w:val="right"/>
            </w:pPr>
            <w:r>
              <w:t xml:space="preserve">18</w:t>
            </w:r>
          </w:p>
        </w:tc>
        <w:tc>
          <w:tcPr/>
          <w:p>
            <w:pPr>
              <w:pStyle w:val="Compact"/>
              <w:jc w:val="right"/>
            </w:pPr>
            <w:r>
              <w:t xml:space="preserve">38</w:t>
            </w:r>
          </w:p>
        </w:tc>
        <w:tc>
          <w:tcPr/>
          <w:p>
            <w:pPr>
              <w:pStyle w:val="Compact"/>
              <w:jc w:val="right"/>
            </w:pPr>
            <w:r>
              <w:t xml:space="preserve">11</w:t>
            </w:r>
          </w:p>
        </w:tc>
      </w:tr>
      <w:tr>
        <w:tc>
          <w:tcPr/>
          <w:p>
            <w:pPr>
              <w:pStyle w:val="Compact"/>
            </w:pPr>
          </w:p>
        </w:tc>
        <w:tc>
          <w:tcPr/>
          <w:p>
            <w:pPr>
              <w:pStyle w:val="Compact"/>
              <w:jc w:val="left"/>
            </w:pPr>
            <w:r>
              <w:t xml:space="preserve">Temp (C)</w:t>
            </w:r>
          </w:p>
        </w:tc>
        <w:tc>
          <w:tcPr/>
          <w:p>
            <w:pPr>
              <w:pStyle w:val="Compact"/>
              <w:jc w:val="left"/>
            </w:pPr>
            <w:r>
              <w:t xml:space="preserve">27 (19.6, 32.1)</w:t>
            </w:r>
          </w:p>
        </w:tc>
        <w:tc>
          <w:tcPr/>
          <w:p>
            <w:pPr>
              <w:pStyle w:val="Compact"/>
              <w:jc w:val="right"/>
            </w:pPr>
            <w:r>
              <w:t xml:space="preserve">294</w:t>
            </w:r>
          </w:p>
        </w:tc>
        <w:tc>
          <w:tcPr/>
          <w:p>
            <w:pPr>
              <w:pStyle w:val="Compact"/>
              <w:jc w:val="right"/>
            </w:pPr>
            <w:r>
              <w:t xml:space="preserve">64</w:t>
            </w:r>
          </w:p>
        </w:tc>
        <w:tc>
          <w:tcPr/>
          <w:p>
            <w:pPr>
              <w:pStyle w:val="Compact"/>
              <w:jc w:val="right"/>
            </w:pPr>
            <w:r>
              <w:t xml:space="preserve">12</w:t>
            </w:r>
          </w:p>
        </w:tc>
        <w:tc>
          <w:tcPr/>
          <w:p>
            <w:pPr>
              <w:pStyle w:val="Compact"/>
              <w:jc w:val="right"/>
            </w:pPr>
            <w:r>
              <w:t xml:space="preserve">24</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0.33 (0.152, 1.78)</w:t>
            </w:r>
          </w:p>
        </w:tc>
        <w:tc>
          <w:tcPr/>
          <w:p>
            <w:pPr>
              <w:pStyle w:val="Compact"/>
              <w:jc w:val="right"/>
            </w:pPr>
            <w:r>
              <w:t xml:space="preserve">249</w:t>
            </w:r>
          </w:p>
        </w:tc>
        <w:tc>
          <w:tcPr/>
          <w:p>
            <w:pPr>
              <w:pStyle w:val="Compact"/>
              <w:jc w:val="right"/>
            </w:pPr>
            <w:r>
              <w:t xml:space="preserve">72</w:t>
            </w:r>
          </w:p>
        </w:tc>
        <w:tc>
          <w:tcPr/>
          <w:p>
            <w:pPr>
              <w:pStyle w:val="Compact"/>
              <w:jc w:val="right"/>
            </w:pPr>
            <w:r>
              <w:t xml:space="preserve">22</w:t>
            </w:r>
          </w:p>
        </w:tc>
        <w:tc>
          <w:tcPr/>
          <w:p>
            <w:pPr>
              <w:pStyle w:val="Compact"/>
              <w:jc w:val="right"/>
            </w:pPr>
            <w:r>
              <w:t xml:space="preserve">5</w:t>
            </w:r>
          </w:p>
        </w:tc>
        <w:tc>
          <w:tcPr/>
          <w:p>
            <w:pPr>
              <w:pStyle w:val="Compact"/>
              <w:jc w:val="right"/>
            </w:pPr>
            <w:r>
              <w:t xml:space="preserve">10</w:t>
            </w:r>
          </w:p>
        </w:tc>
      </w:tr>
      <w:tr>
        <w:tc>
          <w:tcPr/>
          <w:p>
            <w:pPr>
              <w:pStyle w:val="Compact"/>
            </w:pPr>
          </w:p>
        </w:tc>
        <w:tc>
          <w:tcPr/>
          <w:p>
            <w:pPr>
              <w:pStyle w:val="Compact"/>
              <w:jc w:val="left"/>
            </w:pPr>
            <w:r>
              <w:t xml:space="preserve">TP (mg/L)</w:t>
            </w:r>
          </w:p>
        </w:tc>
        <w:tc>
          <w:tcPr/>
          <w:p>
            <w:pPr>
              <w:pStyle w:val="Compact"/>
              <w:jc w:val="left"/>
            </w:pPr>
            <w:r>
              <w:t xml:space="preserve">0.06 (0.019, 0.589)</w:t>
            </w:r>
          </w:p>
        </w:tc>
        <w:tc>
          <w:tcPr/>
          <w:p>
            <w:pPr>
              <w:pStyle w:val="Compact"/>
              <w:jc w:val="right"/>
            </w:pPr>
            <w:r>
              <w:t xml:space="preserve">256</w:t>
            </w:r>
          </w:p>
        </w:tc>
        <w:tc>
          <w:tcPr/>
          <w:p>
            <w:pPr>
              <w:pStyle w:val="Compact"/>
              <w:jc w:val="right"/>
            </w:pPr>
            <w:r>
              <w:t xml:space="preserve">78</w:t>
            </w:r>
          </w:p>
        </w:tc>
        <w:tc>
          <w:tcPr/>
          <w:p>
            <w:pPr>
              <w:pStyle w:val="Compact"/>
              <w:jc w:val="right"/>
            </w:pPr>
            <w:r>
              <w:t xml:space="preserve">11</w:t>
            </w:r>
          </w:p>
        </w:tc>
        <w:tc>
          <w:tcPr/>
          <w:p>
            <w:pPr>
              <w:pStyle w:val="Compact"/>
              <w:jc w:val="right"/>
            </w:pPr>
            <w:r>
              <w:t xml:space="preserve">11</w:t>
            </w:r>
          </w:p>
        </w:tc>
        <w:tc>
          <w:tcPr/>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Chi-Sq.</w:t>
            </w:r>
          </w:p>
        </w:tc>
        <w:tc>
          <w:tcPr/>
          <w:p>
            <w:pPr>
              <w:pStyle w:val="Compact"/>
              <w:jc w:val="left"/>
            </w:pPr>
            <w:r>
              <w:t xml:space="preserve">Comp.</w:t>
            </w:r>
          </w:p>
        </w:tc>
        <w:tc>
          <w:tcPr/>
          <w:p>
            <w:pPr>
              <w:pStyle w:val="Compact"/>
              <w:jc w:val="left"/>
            </w:pPr>
            <w:r>
              <w:t xml:space="preserve">Month</w:t>
            </w:r>
          </w:p>
        </w:tc>
        <w:tc>
          <w:tcPr/>
          <w:p>
            <w:pPr>
              <w:pStyle w:val="Compact"/>
              <w:jc w:val="right"/>
            </w:pPr>
            <w:r>
              <w:t xml:space="preserve">N obs.</w:t>
            </w:r>
          </w:p>
        </w:tc>
        <w:tc>
          <w:tcPr/>
          <w:p>
            <w:pPr>
              <w:pStyle w:val="Compact"/>
              <w:jc w:val="right"/>
            </w:pPr>
            <w:r>
              <w:t xml:space="preserve">Observed median</w:t>
            </w:r>
          </w:p>
        </w:tc>
        <w:tc>
          <w:tcPr/>
          <w:p>
            <w:pPr>
              <w:pStyle w:val="Compact"/>
              <w:jc w:val="right"/>
            </w:pPr>
            <w:r>
              <w:t xml:space="preserve">Seasonally-corrected median</w:t>
            </w:r>
          </w:p>
        </w:tc>
      </w:tr>
      <w:tr>
        <w:tc>
          <w:tcPr/>
          <w:p>
            <w:pPr>
              <w:pStyle w:val="Compact"/>
              <w:jc w:val="left"/>
            </w:pPr>
            <w:r>
              <w:t xml:space="preserve">1</w:t>
            </w:r>
          </w:p>
        </w:tc>
        <w:tc>
          <w:tcPr/>
          <w:p>
            <w:pPr>
              <w:pStyle w:val="Compact"/>
              <w:jc w:val="left"/>
            </w:pPr>
            <w:r>
              <w:t xml:space="preserve">TN (mg/L)</w:t>
            </w:r>
          </w:p>
        </w:tc>
        <w:tc>
          <w:tcPr/>
          <w:p>
            <w:pPr>
              <w:pStyle w:val="Compact"/>
              <w:jc w:val="left"/>
            </w:pPr>
            <w:r>
              <w:t xml:space="preserve">25.01**</w:t>
            </w:r>
          </w:p>
        </w:tc>
        <w:tc>
          <w:tcPr/>
          <w:p>
            <w:pPr>
              <w:pStyle w:val="Compact"/>
              <w:jc w:val="left"/>
            </w:pPr>
            <w:r>
              <w:t xml:space="preserve">a</w:t>
            </w:r>
          </w:p>
        </w:tc>
        <w:tc>
          <w:tcPr/>
          <w:p>
            <w:pPr>
              <w:pStyle w:val="Compact"/>
              <w:jc w:val="left"/>
            </w:pPr>
            <w:r>
              <w:t xml:space="preserve">Apr</w:t>
            </w:r>
          </w:p>
        </w:tc>
        <w:tc>
          <w:tcPr/>
          <w:p>
            <w:pPr>
              <w:pStyle w:val="Compact"/>
              <w:jc w:val="right"/>
            </w:pPr>
            <w:r>
              <w:t xml:space="preserve">135</w:t>
            </w:r>
          </w:p>
        </w:tc>
        <w:tc>
          <w:tcPr/>
          <w:p>
            <w:pPr>
              <w:pStyle w:val="Compact"/>
              <w:jc w:val="right"/>
            </w:pPr>
            <w:r>
              <w:t xml:space="preserve">0.390</w:t>
            </w:r>
          </w:p>
        </w:tc>
        <w:tc>
          <w:tcPr/>
          <w:p>
            <w:pPr>
              <w:pStyle w:val="Compact"/>
              <w:jc w:val="right"/>
            </w:pPr>
            <w:r>
              <w:t xml:space="preserve">0.008</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0.360</w:t>
            </w:r>
          </w:p>
        </w:tc>
        <w:tc>
          <w:tcPr/>
          <w:p>
            <w:pPr>
              <w:pStyle w:val="Compact"/>
              <w:jc w:val="right"/>
            </w:pPr>
            <w:r>
              <w:t xml:space="preserve">0.110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0.430</w:t>
            </w:r>
          </w:p>
        </w:tc>
        <w:tc>
          <w:tcPr/>
          <w:p>
            <w:pPr>
              <w:pStyle w:val="Compact"/>
              <w:jc w:val="right"/>
            </w:pPr>
            <w:r>
              <w:t xml:space="preserve">0.112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0.520</w:t>
            </w:r>
          </w:p>
        </w:tc>
        <w:tc>
          <w:tcPr/>
          <w:p>
            <w:pPr>
              <w:pStyle w:val="Compact"/>
              <w:jc w:val="right"/>
            </w:pPr>
            <w:r>
              <w:t xml:space="preserve">0.178</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25</w:t>
            </w:r>
          </w:p>
        </w:tc>
        <w:tc>
          <w:tcPr/>
          <w:p>
            <w:pPr>
              <w:pStyle w:val="Compact"/>
              <w:jc w:val="right"/>
            </w:pPr>
            <w:r>
              <w:t xml:space="preserve">0.470</w:t>
            </w:r>
          </w:p>
        </w:tc>
        <w:tc>
          <w:tcPr/>
          <w:p>
            <w:pPr>
              <w:pStyle w:val="Compact"/>
              <w:jc w:val="right"/>
            </w:pPr>
            <w:r>
              <w:t xml:space="preserve">0.065</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8</w:t>
            </w:r>
          </w:p>
        </w:tc>
        <w:tc>
          <w:tcPr/>
          <w:p>
            <w:pPr>
              <w:pStyle w:val="Compact"/>
              <w:jc w:val="right"/>
            </w:pPr>
            <w:r>
              <w:t xml:space="preserve">0.390</w:t>
            </w:r>
          </w:p>
        </w:tc>
        <w:tc>
          <w:tcPr/>
          <w:p>
            <w:pPr>
              <w:pStyle w:val="Compact"/>
              <w:jc w:val="right"/>
            </w:pPr>
            <w:r>
              <w:t xml:space="preserve">0.075</w:t>
            </w:r>
          </w:p>
        </w:tc>
      </w:tr>
      <w:tr>
        <w:tc>
          <w:tcPr/>
          <w:p>
            <w:pPr>
              <w:pStyle w:val="Compact"/>
            </w:pPr>
          </w:p>
        </w:tc>
        <w:tc>
          <w:tcPr/>
          <w:p>
            <w:pPr>
              <w:pStyle w:val="Compact"/>
              <w:jc w:val="left"/>
            </w:pPr>
            <w:r>
              <w:t xml:space="preserve">Chl-a (ug/L)</w:t>
            </w:r>
          </w:p>
        </w:tc>
        <w:tc>
          <w:tcPr/>
          <w:p>
            <w:pPr>
              <w:pStyle w:val="Compact"/>
              <w:jc w:val="left"/>
            </w:pPr>
            <w:r>
              <w:t xml:space="preserve">61.89**</w:t>
            </w:r>
          </w:p>
        </w:tc>
        <w:tc>
          <w:tcPr/>
          <w:p>
            <w:pPr>
              <w:pStyle w:val="Compact"/>
              <w:jc w:val="left"/>
            </w:pPr>
            <w:r>
              <w:t xml:space="preserve">a</w:t>
            </w:r>
          </w:p>
        </w:tc>
        <w:tc>
          <w:tcPr/>
          <w:p>
            <w:pPr>
              <w:pStyle w:val="Compact"/>
              <w:jc w:val="left"/>
            </w:pPr>
            <w:r>
              <w:t xml:space="preserve">Apr</w:t>
            </w:r>
          </w:p>
        </w:tc>
        <w:tc>
          <w:tcPr/>
          <w:p>
            <w:pPr>
              <w:pStyle w:val="Compact"/>
              <w:jc w:val="right"/>
            </w:pPr>
            <w:r>
              <w:t xml:space="preserve">144</w:t>
            </w:r>
          </w:p>
        </w:tc>
        <w:tc>
          <w:tcPr/>
          <w:p>
            <w:pPr>
              <w:pStyle w:val="Compact"/>
              <w:jc w:val="right"/>
            </w:pPr>
            <w:r>
              <w:t xml:space="preserve">3.300</w:t>
            </w:r>
          </w:p>
        </w:tc>
        <w:tc>
          <w:tcPr/>
          <w:p>
            <w:pPr>
              <w:pStyle w:val="Compact"/>
              <w:jc w:val="right"/>
            </w:pPr>
            <w:r>
              <w:t xml:space="preserve">1.010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2.400</w:t>
            </w:r>
          </w:p>
        </w:tc>
        <w:tc>
          <w:tcPr/>
          <w:p>
            <w:pPr>
              <w:pStyle w:val="Compact"/>
              <w:jc w:val="right"/>
            </w:pPr>
            <w:r>
              <w:t xml:space="preserve">-0.870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6.600</w:t>
            </w:r>
          </w:p>
        </w:tc>
        <w:tc>
          <w:tcPr/>
          <w:p>
            <w:pPr>
              <w:pStyle w:val="Compact"/>
              <w:jc w:val="right"/>
            </w:pPr>
            <w:r>
              <w:t xml:space="preserve">1.960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5.600</w:t>
            </w:r>
          </w:p>
        </w:tc>
        <w:tc>
          <w:tcPr/>
          <w:p>
            <w:pPr>
              <w:pStyle w:val="Compact"/>
              <w:jc w:val="right"/>
            </w:pPr>
            <w:r>
              <w:t xml:space="preserve">0.310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27</w:t>
            </w:r>
          </w:p>
        </w:tc>
        <w:tc>
          <w:tcPr/>
          <w:p>
            <w:pPr>
              <w:pStyle w:val="Compact"/>
              <w:jc w:val="right"/>
            </w:pPr>
            <w:r>
              <w:t xml:space="preserve">3.300</w:t>
            </w:r>
          </w:p>
        </w:tc>
        <w:tc>
          <w:tcPr/>
          <w:p>
            <w:pPr>
              <w:pStyle w:val="Compact"/>
              <w:jc w:val="right"/>
            </w:pPr>
            <w:r>
              <w:t xml:space="preserve">-3.590</w:t>
            </w:r>
          </w:p>
        </w:tc>
      </w:tr>
      <w:tr>
        <w:tc>
          <w:tcPr/>
          <w:p>
            <w:pPr>
              <w:pStyle w:val="Compact"/>
            </w:pPr>
          </w:p>
        </w:tc>
        <w:tc>
          <w:tcPr/>
          <w:p>
            <w:pPr>
              <w:pStyle w:val="Compact"/>
              <w:jc w:val="left"/>
            </w:pPr>
            <w:r>
              <w:t xml:space="preserve">Secchi (m)</w:t>
            </w:r>
          </w:p>
        </w:tc>
        <w:tc>
          <w:tcPr/>
          <w:p>
            <w:pPr>
              <w:pStyle w:val="Compact"/>
              <w:jc w:val="left"/>
            </w:pPr>
            <w:r>
              <w:t xml:space="preserve">47.47**</w:t>
            </w:r>
          </w:p>
        </w:tc>
        <w:tc>
          <w:tcPr/>
          <w:p>
            <w:pPr>
              <w:pStyle w:val="Compact"/>
              <w:jc w:val="left"/>
            </w:pPr>
            <w:r>
              <w:t xml:space="preserve">a</w:t>
            </w:r>
          </w:p>
        </w:tc>
        <w:tc>
          <w:tcPr/>
          <w:p>
            <w:pPr>
              <w:pStyle w:val="Compact"/>
              <w:jc w:val="left"/>
            </w:pPr>
            <w:r>
              <w:t xml:space="preserve">Apr</w:t>
            </w:r>
          </w:p>
        </w:tc>
        <w:tc>
          <w:tcPr/>
          <w:p>
            <w:pPr>
              <w:pStyle w:val="Compact"/>
              <w:jc w:val="right"/>
            </w:pPr>
            <w:r>
              <w:t xml:space="preserve">118</w:t>
            </w:r>
          </w:p>
        </w:tc>
        <w:tc>
          <w:tcPr/>
          <w:p>
            <w:pPr>
              <w:pStyle w:val="Compact"/>
              <w:jc w:val="right"/>
            </w:pPr>
            <w:r>
              <w:t xml:space="preserve">2.900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28</w:t>
            </w:r>
          </w:p>
        </w:tc>
        <w:tc>
          <w:tcPr/>
          <w:p>
            <w:pPr>
              <w:pStyle w:val="Compact"/>
              <w:jc w:val="right"/>
            </w:pPr>
            <w:r>
              <w:t xml:space="preserve">3.000</w:t>
            </w:r>
          </w:p>
        </w:tc>
        <w:tc>
          <w:tcPr/>
          <w:p>
            <w:pPr>
              <w:pStyle w:val="Compact"/>
              <w:jc w:val="right"/>
            </w:pPr>
            <w:r>
              <w:t xml:space="preserve">-0.600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34</w:t>
            </w:r>
          </w:p>
        </w:tc>
        <w:tc>
          <w:tcPr/>
          <w:p>
            <w:pPr>
              <w:pStyle w:val="Compact"/>
              <w:jc w:val="right"/>
            </w:pPr>
            <w:r>
              <w:t xml:space="preserve">2.000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18</w:t>
            </w:r>
          </w:p>
        </w:tc>
        <w:tc>
          <w:tcPr/>
          <w:p>
            <w:pPr>
              <w:pStyle w:val="Compact"/>
              <w:jc w:val="right"/>
            </w:pPr>
            <w:r>
              <w:t xml:space="preserve">2.000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15</w:t>
            </w:r>
          </w:p>
        </w:tc>
        <w:tc>
          <w:tcPr/>
          <w:p>
            <w:pPr>
              <w:pStyle w:val="Compact"/>
              <w:jc w:val="right"/>
            </w:pPr>
            <w:r>
              <w:t xml:space="preserve">3.500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Sep</w:t>
            </w:r>
          </w:p>
        </w:tc>
        <w:tc>
          <w:tcPr/>
          <w:p>
            <w:pPr>
              <w:pStyle w:val="Compact"/>
              <w:jc w:val="right"/>
            </w:pPr>
            <w:r>
              <w:t xml:space="preserve">12</w:t>
            </w:r>
          </w:p>
        </w:tc>
        <w:tc>
          <w:tcPr/>
          <w:p>
            <w:pPr>
              <w:pStyle w:val="Compact"/>
              <w:jc w:val="right"/>
            </w:pPr>
            <w:r>
              <w:t xml:space="preserve">3.600</w:t>
            </w:r>
          </w:p>
        </w:tc>
        <w:tc>
          <w:tcPr/>
          <w:p>
            <w:pPr>
              <w:pStyle w:val="Compact"/>
              <w:jc w:val="right"/>
            </w:pPr>
            <w:r>
              <w:t xml:space="preserve">0.900</w:t>
            </w:r>
          </w:p>
        </w:tc>
      </w:tr>
      <w:tr>
        <w:tc>
          <w:tcPr/>
          <w:p>
            <w:pPr>
              <w:pStyle w:val="Compact"/>
              <w:jc w:val="left"/>
            </w:pPr>
            <w:r>
              <w:t xml:space="preserve">2</w:t>
            </w:r>
          </w:p>
        </w:tc>
        <w:tc>
          <w:tcPr/>
          <w:p>
            <w:pPr>
              <w:pStyle w:val="Compact"/>
              <w:jc w:val="left"/>
            </w:pPr>
            <w:r>
              <w:t xml:space="preserve">TN (mg/L)</w:t>
            </w:r>
          </w:p>
        </w:tc>
        <w:tc>
          <w:tcPr/>
          <w:p>
            <w:pPr>
              <w:pStyle w:val="Compact"/>
              <w:jc w:val="left"/>
            </w:pPr>
            <w:r>
              <w:t xml:space="preserve">20.85**</w:t>
            </w:r>
          </w:p>
        </w:tc>
        <w:tc>
          <w:tcPr/>
          <w:p>
            <w:pPr>
              <w:pStyle w:val="Compact"/>
              <w:jc w:val="left"/>
            </w:pPr>
            <w:r>
              <w:t xml:space="preserve">a</w:t>
            </w:r>
          </w:p>
        </w:tc>
        <w:tc>
          <w:tcPr/>
          <w:p>
            <w:pPr>
              <w:pStyle w:val="Compact"/>
              <w:jc w:val="left"/>
            </w:pPr>
            <w:r>
              <w:t xml:space="preserve">Apr</w:t>
            </w:r>
          </w:p>
        </w:tc>
        <w:tc>
          <w:tcPr/>
          <w:p>
            <w:pPr>
              <w:pStyle w:val="Compact"/>
              <w:jc w:val="right"/>
            </w:pPr>
            <w:r>
              <w:t xml:space="preserve">18</w:t>
            </w:r>
          </w:p>
        </w:tc>
        <w:tc>
          <w:tcPr/>
          <w:p>
            <w:pPr>
              <w:pStyle w:val="Compact"/>
              <w:jc w:val="right"/>
            </w:pPr>
            <w:r>
              <w:t xml:space="preserve">0.390</w:t>
            </w:r>
          </w:p>
        </w:tc>
        <w:tc>
          <w:tcPr/>
          <w:p>
            <w:pPr>
              <w:pStyle w:val="Compact"/>
              <w:jc w:val="right"/>
            </w:pPr>
            <w:r>
              <w:t xml:space="preserve">-0.002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4</w:t>
            </w:r>
          </w:p>
        </w:tc>
        <w:tc>
          <w:tcPr/>
          <w:p>
            <w:pPr>
              <w:pStyle w:val="Compact"/>
              <w:jc w:val="right"/>
            </w:pPr>
            <w:r>
              <w:t xml:space="preserve">0.390</w:t>
            </w:r>
          </w:p>
        </w:tc>
        <w:tc>
          <w:tcPr/>
          <w:p>
            <w:pPr>
              <w:pStyle w:val="Compact"/>
              <w:jc w:val="right"/>
            </w:pPr>
            <w:r>
              <w:t xml:space="preserve">0.160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w:t>
            </w:r>
          </w:p>
        </w:tc>
        <w:tc>
          <w:tcPr/>
          <w:p>
            <w:pPr>
              <w:pStyle w:val="Compact"/>
              <w:jc w:val="right"/>
            </w:pPr>
            <w:r>
              <w:t xml:space="preserve">0.500</w:t>
            </w:r>
          </w:p>
        </w:tc>
        <w:tc>
          <w:tcPr/>
          <w:p>
            <w:pPr>
              <w:pStyle w:val="Compact"/>
              <w:jc w:val="right"/>
            </w:pPr>
            <w:r>
              <w:t xml:space="preserve">0.113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3</w:t>
            </w:r>
          </w:p>
        </w:tc>
        <w:tc>
          <w:tcPr/>
          <w:p>
            <w:pPr>
              <w:pStyle w:val="Compact"/>
              <w:jc w:val="right"/>
            </w:pPr>
            <w:r>
              <w:t xml:space="preserve">0.510</w:t>
            </w:r>
          </w:p>
        </w:tc>
        <w:tc>
          <w:tcPr/>
          <w:p>
            <w:pPr>
              <w:pStyle w:val="Compact"/>
              <w:jc w:val="right"/>
            </w:pPr>
            <w:r>
              <w:t xml:space="preserve">0.097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3</w:t>
            </w:r>
          </w:p>
        </w:tc>
        <w:tc>
          <w:tcPr/>
          <w:p>
            <w:pPr>
              <w:pStyle w:val="Compact"/>
              <w:jc w:val="right"/>
            </w:pPr>
            <w:r>
              <w:t xml:space="preserve">0.540</w:t>
            </w:r>
          </w:p>
        </w:tc>
        <w:tc>
          <w:tcPr/>
          <w:p>
            <w:pPr>
              <w:pStyle w:val="Compact"/>
              <w:jc w:val="right"/>
            </w:pPr>
            <w:r>
              <w:t xml:space="preserve">0.174</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w:t>
            </w:r>
          </w:p>
        </w:tc>
        <w:tc>
          <w:tcPr/>
          <w:p>
            <w:pPr>
              <w:pStyle w:val="Compact"/>
              <w:jc w:val="right"/>
            </w:pPr>
            <w:r>
              <w:t xml:space="preserve">0.570</w:t>
            </w:r>
          </w:p>
        </w:tc>
        <w:tc>
          <w:tcPr/>
          <w:p>
            <w:pPr>
              <w:pStyle w:val="Compact"/>
              <w:jc w:val="right"/>
            </w:pPr>
            <w:r>
              <w:t xml:space="preserve">0.049</w:t>
            </w:r>
          </w:p>
        </w:tc>
      </w:tr>
      <w:tr>
        <w:tc>
          <w:tcPr/>
          <w:p>
            <w:pPr>
              <w:pStyle w:val="Compact"/>
            </w:pPr>
          </w:p>
        </w:tc>
        <w:tc>
          <w:tcPr/>
          <w:p>
            <w:pPr>
              <w:pStyle w:val="Compact"/>
              <w:jc w:val="left"/>
            </w:pPr>
            <w:r>
              <w:t xml:space="preserve">Chl-a (ug/L)</w:t>
            </w:r>
          </w:p>
        </w:tc>
        <w:tc>
          <w:tcPr/>
          <w:p>
            <w:pPr>
              <w:pStyle w:val="Compact"/>
              <w:jc w:val="left"/>
            </w:pPr>
            <w:r>
              <w:t xml:space="preserve">10.76*</w:t>
            </w:r>
          </w:p>
        </w:tc>
        <w:tc>
          <w:tcPr/>
          <w:p>
            <w:pPr>
              <w:pStyle w:val="Compact"/>
              <w:jc w:val="left"/>
            </w:pPr>
            <w:r>
              <w:t xml:space="preserve">a</w:t>
            </w:r>
          </w:p>
        </w:tc>
        <w:tc>
          <w:tcPr/>
          <w:p>
            <w:pPr>
              <w:pStyle w:val="Compact"/>
              <w:jc w:val="left"/>
            </w:pPr>
            <w:r>
              <w:t xml:space="preserve">Apr</w:t>
            </w:r>
          </w:p>
        </w:tc>
        <w:tc>
          <w:tcPr/>
          <w:p>
            <w:pPr>
              <w:pStyle w:val="Compact"/>
              <w:jc w:val="right"/>
            </w:pPr>
            <w:r>
              <w:t xml:space="preserve">22</w:t>
            </w:r>
          </w:p>
        </w:tc>
        <w:tc>
          <w:tcPr/>
          <w:p>
            <w:pPr>
              <w:pStyle w:val="Compact"/>
              <w:jc w:val="right"/>
            </w:pPr>
            <w:r>
              <w:t xml:space="preserve">2.500</w:t>
            </w:r>
          </w:p>
        </w:tc>
        <w:tc>
          <w:tcPr/>
          <w:p>
            <w:pPr>
              <w:pStyle w:val="Compact"/>
              <w:jc w:val="right"/>
            </w:pPr>
            <w:r>
              <w:t xml:space="preserve">-1.390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4</w:t>
            </w:r>
          </w:p>
        </w:tc>
        <w:tc>
          <w:tcPr/>
          <w:p>
            <w:pPr>
              <w:pStyle w:val="Compact"/>
              <w:jc w:val="right"/>
            </w:pPr>
            <w:r>
              <w:t xml:space="preserve">2.150</w:t>
            </w:r>
          </w:p>
        </w:tc>
        <w:tc>
          <w:tcPr/>
          <w:p>
            <w:pPr>
              <w:pStyle w:val="Compact"/>
              <w:jc w:val="right"/>
            </w:pPr>
            <w:r>
              <w:t xml:space="preserve">-2.590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4</w:t>
            </w:r>
          </w:p>
        </w:tc>
        <w:tc>
          <w:tcPr/>
          <w:p>
            <w:pPr>
              <w:pStyle w:val="Compact"/>
              <w:jc w:val="right"/>
            </w:pPr>
            <w:r>
              <w:t xml:space="preserve">6.000</w:t>
            </w:r>
          </w:p>
        </w:tc>
        <w:tc>
          <w:tcPr/>
          <w:p>
            <w:pPr>
              <w:pStyle w:val="Compact"/>
              <w:jc w:val="right"/>
            </w:pPr>
            <w:r>
              <w:t xml:space="preserve">-1.050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3</w:t>
            </w:r>
          </w:p>
        </w:tc>
        <w:tc>
          <w:tcPr/>
          <w:p>
            <w:pPr>
              <w:pStyle w:val="Compact"/>
              <w:jc w:val="right"/>
            </w:pPr>
            <w:r>
              <w:t xml:space="preserve">7.200</w:t>
            </w:r>
          </w:p>
        </w:tc>
        <w:tc>
          <w:tcPr/>
          <w:p>
            <w:pPr>
              <w:pStyle w:val="Compact"/>
              <w:jc w:val="right"/>
            </w:pPr>
            <w:r>
              <w:t xml:space="preserve">-0.940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5.200</w:t>
            </w:r>
          </w:p>
        </w:tc>
        <w:tc>
          <w:tcPr/>
          <w:p>
            <w:pPr>
              <w:pStyle w:val="Compact"/>
              <w:jc w:val="right"/>
            </w:pPr>
            <w:r>
              <w:t xml:space="preserve">-4.940</w:t>
            </w:r>
          </w:p>
        </w:tc>
      </w:tr>
      <w:tr>
        <w:tc>
          <w:tcPr/>
          <w:p>
            <w:pPr>
              <w:pStyle w:val="Compact"/>
            </w:pPr>
          </w:p>
        </w:tc>
        <w:tc>
          <w:tcPr/>
          <w:p>
            <w:pPr>
              <w:pStyle w:val="Compact"/>
              <w:jc w:val="left"/>
            </w:pPr>
            <w:r>
              <w:t xml:space="preserve">Secchi (m)</w:t>
            </w:r>
          </w:p>
        </w:tc>
        <w:tc>
          <w:tcPr/>
          <w:p>
            <w:pPr>
              <w:pStyle w:val="Compact"/>
              <w:jc w:val="left"/>
            </w:pPr>
            <w:r>
              <w:t xml:space="preserve">3.82</w:t>
            </w:r>
          </w:p>
        </w:tc>
        <w:tc>
          <w:tcPr/>
          <w:p>
            <w:pPr>
              <w:pStyle w:val="Compact"/>
              <w:jc w:val="left"/>
            </w:pPr>
            <w:r>
              <w:t xml:space="preserve">a</w:t>
            </w:r>
          </w:p>
        </w:tc>
        <w:tc>
          <w:tcPr/>
          <w:p>
            <w:pPr>
              <w:pStyle w:val="Compact"/>
              <w:jc w:val="left"/>
            </w:pPr>
            <w:r>
              <w:t xml:space="preserve">Apr</w:t>
            </w:r>
          </w:p>
        </w:tc>
        <w:tc>
          <w:tcPr/>
          <w:p>
            <w:pPr>
              <w:pStyle w:val="Compact"/>
              <w:jc w:val="right"/>
            </w:pPr>
            <w:r>
              <w:t xml:space="preserve">17</w:t>
            </w:r>
          </w:p>
        </w:tc>
        <w:tc>
          <w:tcPr/>
          <w:p>
            <w:pPr>
              <w:pStyle w:val="Compact"/>
              <w:jc w:val="right"/>
            </w:pPr>
            <w:r>
              <w:t xml:space="preserve">2.000</w:t>
            </w:r>
          </w:p>
        </w:tc>
        <w:tc>
          <w:tcPr/>
          <w:p>
            <w:pPr>
              <w:pStyle w:val="Compact"/>
              <w:jc w:val="right"/>
            </w:pPr>
            <w:r>
              <w:t xml:space="preserve">0.200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w:t>
            </w:r>
          </w:p>
        </w:tc>
        <w:tc>
          <w:tcPr/>
          <w:p>
            <w:pPr>
              <w:pStyle w:val="Compact"/>
              <w:jc w:val="right"/>
            </w:pPr>
            <w:r>
              <w:t xml:space="preserve">2.000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w:t>
            </w:r>
          </w:p>
        </w:tc>
        <w:tc>
          <w:tcPr/>
          <w:p>
            <w:pPr>
              <w:pStyle w:val="Compact"/>
              <w:jc w:val="right"/>
            </w:pPr>
            <w:r>
              <w:t xml:space="preserve">2.100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w:t>
            </w:r>
          </w:p>
        </w:tc>
        <w:tc>
          <w:tcPr/>
          <w:p>
            <w:pPr>
              <w:pStyle w:val="Compact"/>
              <w:jc w:val="right"/>
            </w:pPr>
            <w:r>
              <w:t xml:space="preserve">1.400</w:t>
            </w:r>
          </w:p>
        </w:tc>
        <w:tc>
          <w:tcPr/>
          <w:p>
            <w:pPr>
              <w:pStyle w:val="Compact"/>
              <w:jc w:val="right"/>
            </w:pPr>
            <w:r>
              <w:t xml:space="preserve">-0.100</w:t>
            </w:r>
          </w:p>
        </w:tc>
      </w:tr>
      <w:tr>
        <w:tc>
          <w:tcPr/>
          <w:p>
            <w:pPr>
              <w:pStyle w:val="Compact"/>
              <w:jc w:val="left"/>
            </w:pPr>
            <w:r>
              <w:t xml:space="preserve">3</w:t>
            </w:r>
          </w:p>
        </w:tc>
        <w:tc>
          <w:tcPr/>
          <w:p>
            <w:pPr>
              <w:pStyle w:val="Compact"/>
              <w:jc w:val="left"/>
            </w:pPr>
            <w:r>
              <w:t xml:space="preserve">TN (mg/L)</w:t>
            </w:r>
          </w:p>
        </w:tc>
        <w:tc>
          <w:tcPr/>
          <w:p>
            <w:pPr>
              <w:pStyle w:val="Compact"/>
              <w:jc w:val="left"/>
            </w:pPr>
            <w:r>
              <w:t xml:space="preserve">20.88**</w:t>
            </w:r>
          </w:p>
        </w:tc>
        <w:tc>
          <w:tcPr/>
          <w:p>
            <w:pPr>
              <w:pStyle w:val="Compact"/>
              <w:jc w:val="left"/>
            </w:pPr>
            <w:r>
              <w:t xml:space="preserve">a</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0.330</w:t>
            </w:r>
          </w:p>
        </w:tc>
        <w:tc>
          <w:tcPr/>
          <w:p>
            <w:pPr>
              <w:pStyle w:val="Compact"/>
              <w:jc w:val="right"/>
            </w:pPr>
            <w:r>
              <w:t xml:space="preserve">-0.010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0.335</w:t>
            </w:r>
          </w:p>
        </w:tc>
        <w:tc>
          <w:tcPr/>
          <w:p>
            <w:pPr>
              <w:pStyle w:val="Compact"/>
              <w:jc w:val="right"/>
            </w:pPr>
            <w:r>
              <w:t xml:space="preserve">0.079</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10</w:t>
            </w:r>
          </w:p>
        </w:tc>
        <w:tc>
          <w:tcPr/>
          <w:p>
            <w:pPr>
              <w:pStyle w:val="Compact"/>
              <w:jc w:val="right"/>
            </w:pPr>
            <w:r>
              <w:t xml:space="preserve">0.350</w:t>
            </w:r>
          </w:p>
        </w:tc>
        <w:tc>
          <w:tcPr/>
          <w:p>
            <w:pPr>
              <w:pStyle w:val="Compact"/>
              <w:jc w:val="right"/>
            </w:pPr>
            <w:r>
              <w:t xml:space="preserve">-0.087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0.365</w:t>
            </w:r>
          </w:p>
        </w:tc>
        <w:tc>
          <w:tcPr/>
          <w:p>
            <w:pPr>
              <w:pStyle w:val="Compact"/>
              <w:jc w:val="right"/>
            </w:pPr>
            <w:r>
              <w:t xml:space="preserve">0.013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4</w:t>
            </w:r>
          </w:p>
        </w:tc>
        <w:tc>
          <w:tcPr/>
          <w:p>
            <w:pPr>
              <w:pStyle w:val="Compact"/>
              <w:jc w:val="right"/>
            </w:pPr>
            <w:r>
              <w:t xml:space="preserve">0.435</w:t>
            </w:r>
          </w:p>
        </w:tc>
        <w:tc>
          <w:tcPr/>
          <w:p>
            <w:pPr>
              <w:pStyle w:val="Compact"/>
              <w:jc w:val="right"/>
            </w:pPr>
            <w:r>
              <w:t xml:space="preserve">0.126</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7</w:t>
            </w:r>
          </w:p>
        </w:tc>
        <w:tc>
          <w:tcPr/>
          <w:p>
            <w:pPr>
              <w:pStyle w:val="Compact"/>
              <w:jc w:val="right"/>
            </w:pPr>
            <w:r>
              <w:t xml:space="preserve">0.380</w:t>
            </w:r>
          </w:p>
        </w:tc>
        <w:tc>
          <w:tcPr/>
          <w:p>
            <w:pPr>
              <w:pStyle w:val="Compact"/>
              <w:jc w:val="right"/>
            </w:pPr>
            <w:r>
              <w:t xml:space="preserve">0.023</w:t>
            </w:r>
          </w:p>
        </w:tc>
      </w:tr>
      <w:tr>
        <w:tc>
          <w:tcPr/>
          <w:p>
            <w:pPr>
              <w:pStyle w:val="Compact"/>
            </w:pPr>
          </w:p>
        </w:tc>
        <w:tc>
          <w:tcPr/>
          <w:p>
            <w:pPr>
              <w:pStyle w:val="Compact"/>
              <w:jc w:val="left"/>
            </w:pPr>
            <w:r>
              <w:t xml:space="preserve">Chl-a (ug/L)</w:t>
            </w:r>
          </w:p>
        </w:tc>
        <w:tc>
          <w:tcPr/>
          <w:p>
            <w:pPr>
              <w:pStyle w:val="Compact"/>
              <w:jc w:val="left"/>
            </w:pPr>
            <w:r>
              <w:t xml:space="preserve">35.64**</w:t>
            </w:r>
          </w:p>
        </w:tc>
        <w:tc>
          <w:tcPr/>
          <w:p>
            <w:pPr>
              <w:pStyle w:val="Compact"/>
              <w:jc w:val="left"/>
            </w:pPr>
            <w:r>
              <w:t xml:space="preserve">ab</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1.900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ac</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2.350</w:t>
            </w:r>
          </w:p>
        </w:tc>
        <w:tc>
          <w:tcPr/>
          <w:p>
            <w:pPr>
              <w:pStyle w:val="Compact"/>
              <w:jc w:val="right"/>
            </w:pPr>
            <w:r>
              <w:t xml:space="preserve">-0.480</w:t>
            </w:r>
          </w:p>
        </w:tc>
      </w:tr>
      <w:tr>
        <w:tc>
          <w:tcPr/>
          <w:p>
            <w:pPr>
              <w:pStyle w:val="Compact"/>
            </w:pPr>
          </w:p>
        </w:tc>
        <w:tc>
          <w:tcPr/>
          <w:p>
            <w:pPr>
              <w:pStyle w:val="Compact"/>
            </w:pPr>
          </w:p>
        </w:tc>
        <w:tc>
          <w:tcPr/>
          <w:p>
            <w:pPr>
              <w:pStyle w:val="Compact"/>
            </w:pPr>
          </w:p>
        </w:tc>
        <w:tc>
          <w:tcPr/>
          <w:p>
            <w:pPr>
              <w:pStyle w:val="Compact"/>
              <w:jc w:val="left"/>
            </w:pPr>
            <w:r>
              <w:t xml:space="preserve">bd</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2.800</w:t>
            </w:r>
          </w:p>
        </w:tc>
        <w:tc>
          <w:tcPr/>
          <w:p>
            <w:pPr>
              <w:pStyle w:val="Compact"/>
              <w:jc w:val="right"/>
            </w:pPr>
            <w:r>
              <w:t xml:space="preserve">-1.580</w:t>
            </w:r>
          </w:p>
        </w:tc>
      </w:tr>
      <w:tr>
        <w:tc>
          <w:tcPr/>
          <w:p>
            <w:pPr>
              <w:pStyle w:val="Compact"/>
            </w:pPr>
          </w:p>
        </w:tc>
        <w:tc>
          <w:tcPr/>
          <w:p>
            <w:pPr>
              <w:pStyle w:val="Compact"/>
            </w:pPr>
          </w:p>
        </w:tc>
        <w:tc>
          <w:tcPr/>
          <w:p>
            <w:pPr>
              <w:pStyle w:val="Compact"/>
            </w:pPr>
          </w:p>
        </w:tc>
        <w:tc>
          <w:tcPr/>
          <w:p>
            <w:pPr>
              <w:pStyle w:val="Compact"/>
              <w:jc w:val="left"/>
            </w:pPr>
            <w:r>
              <w:t xml:space="preserve">ce</w:t>
            </w:r>
          </w:p>
        </w:tc>
        <w:tc>
          <w:tcPr/>
          <w:p>
            <w:pPr>
              <w:pStyle w:val="Compact"/>
              <w:jc w:val="left"/>
            </w:pPr>
            <w:r>
              <w:t xml:space="preserve">Jul</w:t>
            </w:r>
          </w:p>
        </w:tc>
        <w:tc>
          <w:tcPr/>
          <w:p>
            <w:pPr>
              <w:pStyle w:val="Compact"/>
              <w:jc w:val="right"/>
            </w:pPr>
            <w:r>
              <w:t xml:space="preserve">8</w:t>
            </w:r>
          </w:p>
        </w:tc>
        <w:tc>
          <w:tcPr/>
          <w:p>
            <w:pPr>
              <w:pStyle w:val="Compact"/>
              <w:jc w:val="right"/>
            </w:pPr>
            <w:r>
              <w:t xml:space="preserve">4.150</w:t>
            </w:r>
          </w:p>
        </w:tc>
        <w:tc>
          <w:tcPr/>
          <w:p>
            <w:pPr>
              <w:pStyle w:val="Compact"/>
              <w:jc w:val="right"/>
            </w:pPr>
            <w:r>
              <w:t xml:space="preserve">1.610</w:t>
            </w:r>
          </w:p>
        </w:tc>
      </w:tr>
      <w:tr>
        <w:tc>
          <w:tcPr/>
          <w:p>
            <w:pPr>
              <w:pStyle w:val="Compact"/>
            </w:pPr>
          </w:p>
        </w:tc>
        <w:tc>
          <w:tcPr/>
          <w:p>
            <w:pPr>
              <w:pStyle w:val="Compact"/>
            </w:pPr>
          </w:p>
        </w:tc>
        <w:tc>
          <w:tcPr/>
          <w:p>
            <w:pPr>
              <w:pStyle w:val="Compact"/>
            </w:pPr>
          </w:p>
        </w:tc>
        <w:tc>
          <w:tcPr/>
          <w:p>
            <w:pPr>
              <w:pStyle w:val="Compact"/>
              <w:jc w:val="left"/>
            </w:pPr>
            <w:r>
              <w:t xml:space="preserve">de</w:t>
            </w:r>
          </w:p>
        </w:tc>
        <w:tc>
          <w:tcPr/>
          <w:p>
            <w:pPr>
              <w:pStyle w:val="Compact"/>
              <w:jc w:val="left"/>
            </w:pPr>
            <w:r>
              <w:t xml:space="preserve">Aug</w:t>
            </w:r>
          </w:p>
        </w:tc>
        <w:tc>
          <w:tcPr/>
          <w:p>
            <w:pPr>
              <w:pStyle w:val="Compact"/>
              <w:jc w:val="right"/>
            </w:pPr>
            <w:r>
              <w:t xml:space="preserve">4</w:t>
            </w:r>
          </w:p>
        </w:tc>
        <w:tc>
          <w:tcPr/>
          <w:p>
            <w:pPr>
              <w:pStyle w:val="Compact"/>
              <w:jc w:val="right"/>
            </w:pPr>
            <w:r>
              <w:t xml:space="preserve">3.200</w:t>
            </w:r>
          </w:p>
        </w:tc>
        <w:tc>
          <w:tcPr/>
          <w:p>
            <w:pPr>
              <w:pStyle w:val="Compact"/>
              <w:jc w:val="right"/>
            </w:pPr>
            <w:r>
              <w:t xml:space="preserve">-3.100</w:t>
            </w:r>
          </w:p>
        </w:tc>
      </w:tr>
      <w:tr>
        <w:tc>
          <w:tcPr/>
          <w:p>
            <w:pPr>
              <w:pStyle w:val="Compact"/>
            </w:pPr>
          </w:p>
        </w:tc>
        <w:tc>
          <w:tcPr/>
          <w:p>
            <w:pPr>
              <w:pStyle w:val="Compact"/>
            </w:pPr>
          </w:p>
        </w:tc>
        <w:tc>
          <w:tcPr/>
          <w:p>
            <w:pPr>
              <w:pStyle w:val="Compact"/>
            </w:pPr>
          </w:p>
        </w:tc>
        <w:tc>
          <w:tcPr/>
          <w:p>
            <w:pPr>
              <w:pStyle w:val="Compact"/>
              <w:jc w:val="left"/>
            </w:pPr>
            <w:r>
              <w:t xml:space="preserve">abcde</w:t>
            </w:r>
          </w:p>
        </w:tc>
        <w:tc>
          <w:tcPr/>
          <w:p>
            <w:pPr>
              <w:pStyle w:val="Compact"/>
              <w:jc w:val="left"/>
            </w:pPr>
            <w:r>
              <w:t xml:space="preserve">Sep</w:t>
            </w:r>
          </w:p>
        </w:tc>
        <w:tc>
          <w:tcPr/>
          <w:p>
            <w:pPr>
              <w:pStyle w:val="Compact"/>
              <w:jc w:val="right"/>
            </w:pPr>
            <w:r>
              <w:t xml:space="preserve">8</w:t>
            </w:r>
          </w:p>
        </w:tc>
        <w:tc>
          <w:tcPr/>
          <w:p>
            <w:pPr>
              <w:pStyle w:val="Compact"/>
              <w:jc w:val="right"/>
            </w:pPr>
            <w:r>
              <w:t xml:space="preserve">3.600</w:t>
            </w:r>
          </w:p>
        </w:tc>
        <w:tc>
          <w:tcPr/>
          <w:p>
            <w:pPr>
              <w:pStyle w:val="Compact"/>
              <w:jc w:val="right"/>
            </w:pPr>
            <w:r>
              <w:t xml:space="preserve">-1.500</w:t>
            </w:r>
          </w:p>
        </w:tc>
      </w:tr>
      <w:tr>
        <w:tc>
          <w:tcPr/>
          <w:p>
            <w:pPr>
              <w:pStyle w:val="Compact"/>
            </w:pPr>
          </w:p>
        </w:tc>
        <w:tc>
          <w:tcPr/>
          <w:p>
            <w:pPr>
              <w:pStyle w:val="Compact"/>
              <w:jc w:val="left"/>
            </w:pPr>
            <w:r>
              <w:t xml:space="preserve">Secchi (m)</w:t>
            </w:r>
          </w:p>
        </w:tc>
        <w:tc>
          <w:tcPr/>
          <w:p>
            <w:pPr>
              <w:pStyle w:val="Compact"/>
              <w:jc w:val="left"/>
            </w:pPr>
            <w:r>
              <w:t xml:space="preserve">15.94*</w:t>
            </w:r>
          </w:p>
        </w:tc>
        <w:tc>
          <w:tcPr/>
          <w:p>
            <w:pPr>
              <w:pStyle w:val="Compact"/>
              <w:jc w:val="left"/>
            </w:pPr>
            <w:r>
              <w:t xml:space="preserve">a</w:t>
            </w:r>
          </w:p>
        </w:tc>
        <w:tc>
          <w:tcPr/>
          <w:p>
            <w:pPr>
              <w:pStyle w:val="Compact"/>
              <w:jc w:val="left"/>
            </w:pPr>
            <w:r>
              <w:t xml:space="preserve">Apr</w:t>
            </w:r>
          </w:p>
        </w:tc>
        <w:tc>
          <w:tcPr/>
          <w:p>
            <w:pPr>
              <w:pStyle w:val="Compact"/>
              <w:jc w:val="right"/>
            </w:pPr>
            <w:r>
              <w:t xml:space="preserve">41</w:t>
            </w:r>
          </w:p>
        </w:tc>
        <w:tc>
          <w:tcPr/>
          <w:p>
            <w:pPr>
              <w:pStyle w:val="Compact"/>
              <w:jc w:val="right"/>
            </w:pPr>
            <w:r>
              <w:t xml:space="preserve">2.700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2.200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-0.100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2.000</w:t>
            </w:r>
          </w:p>
        </w:tc>
        <w:tc>
          <w:tcPr/>
          <w:p>
            <w:pPr>
              <w:pStyle w:val="Compact"/>
              <w:jc w:val="right"/>
            </w:pPr>
            <w:r>
              <w:t xml:space="preserve">-0.800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11</w:t>
            </w:r>
          </w:p>
        </w:tc>
        <w:tc>
          <w:tcPr/>
          <w:p>
            <w:pPr>
              <w:pStyle w:val="Compact"/>
              <w:jc w:val="right"/>
            </w:pPr>
            <w:r>
              <w:t xml:space="preserve">2.200</w:t>
            </w:r>
          </w:p>
        </w:tc>
        <w:tc>
          <w:tcPr/>
          <w:p>
            <w:pPr>
              <w:pStyle w:val="Compact"/>
              <w:jc w:val="right"/>
            </w:pPr>
            <w:r>
              <w:t xml:space="preserve">0.000</w:t>
            </w:r>
          </w:p>
        </w:tc>
      </w:tr>
    </w:tbl>
    <w:bookmarkEnd w:id="75"/>
    <w:bookmarkStart w:id="186" w:name="references"/>
    <w:p>
      <w:pPr>
        <w:pStyle w:val="Heading1"/>
      </w:pPr>
      <w:r>
        <w:t xml:space="preserve">References</w:t>
      </w:r>
    </w:p>
    <w:bookmarkStart w:id="185" w:name="refs"/>
    <w:bookmarkStart w:id="77"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6">
        <w:r>
          <w:rPr>
            <w:rStyle w:val="Hyperlink"/>
          </w:rPr>
          <w:t xml:space="preserve">https://doi.org/10.1016/j.hal.2006.08.004</w:t>
        </w:r>
      </w:hyperlink>
    </w:p>
    <w:bookmarkEnd w:id="77"/>
    <w:bookmarkStart w:id="79"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8">
        <w:r>
          <w:rPr>
            <w:rStyle w:val="Hyperlink"/>
          </w:rPr>
          <w:t xml:space="preserve">https://doi.org/10.1016/j.marpolbul.2004.10.016</w:t>
        </w:r>
      </w:hyperlink>
    </w:p>
    <w:bookmarkEnd w:id="79"/>
    <w:bookmarkStart w:id="81" w:name="ref-Bates76"/>
    <w:p>
      <w:pPr>
        <w:pStyle w:val="Bibliography"/>
      </w:pPr>
      <w:r>
        <w:t xml:space="preserve">Bates, S.S., 1976. Effects of light and ammonium on nitrate uptake by two species of estuarine phytoplankton. Limnology and oceanography 21, 212–218.</w:t>
      </w:r>
      <w:r>
        <w:t xml:space="preserve"> </w:t>
      </w:r>
      <w:hyperlink r:id="rId80">
        <w:r>
          <w:rPr>
            <w:rStyle w:val="Hyperlink"/>
          </w:rPr>
          <w:t xml:space="preserve">https://doi.org/10.4319/lo.1976.21.2.0212</w:t>
        </w:r>
      </w:hyperlink>
    </w:p>
    <w:bookmarkEnd w:id="81"/>
    <w:bookmarkStart w:id="83"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2">
        <w:r>
          <w:rPr>
            <w:rStyle w:val="Hyperlink"/>
          </w:rPr>
          <w:t xml:space="preserve">https://doi.org/10.18785/gcr.2901.02</w:t>
        </w:r>
      </w:hyperlink>
    </w:p>
    <w:bookmarkEnd w:id="83"/>
    <w:bookmarkStart w:id="85"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4">
        <w:r>
          <w:rPr>
            <w:rStyle w:val="Hyperlink"/>
          </w:rPr>
          <w:t xml:space="preserve">https://doi.org/10.1007/s12237-017-0287-1</w:t>
        </w:r>
      </w:hyperlink>
    </w:p>
    <w:bookmarkEnd w:id="85"/>
    <w:bookmarkStart w:id="86" w:name="ref-Beck21"/>
    <w:p>
      <w:pPr>
        <w:pStyle w:val="Bibliography"/>
      </w:pPr>
      <w:r>
        <w:t xml:space="preserve">Beck, M.W., Schrandt, M., Wessel, M., Sherwood, E., Raulerson, G., Best, B., 2021. Tbeptools: Data and indicators for the tampa bay estuary program.</w:t>
      </w:r>
    </w:p>
    <w:bookmarkEnd w:id="86"/>
    <w:bookmarkStart w:id="87" w:name="ref-Bryan20"/>
    <w:p>
      <w:pPr>
        <w:pStyle w:val="Bibliography"/>
      </w:pPr>
      <w:r>
        <w:t xml:space="preserve">Bryan, J., 2020. googlesheets4: Access google sheets using the sheets API V4.</w:t>
      </w:r>
    </w:p>
    <w:bookmarkEnd w:id="87"/>
    <w:bookmarkStart w:id="89"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88">
        <w:r>
          <w:rPr>
            <w:rStyle w:val="Hyperlink"/>
          </w:rPr>
          <w:t xml:space="preserve">https://doi.org/10.1016/S0265-931X(00)00164-8</w:t>
        </w:r>
      </w:hyperlink>
    </w:p>
    <w:bookmarkEnd w:id="89"/>
    <w:bookmarkStart w:id="91"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0">
        <w:r>
          <w:rPr>
            <w:rStyle w:val="Hyperlink"/>
          </w:rPr>
          <w:t xml:space="preserve">https://doi.org/10.1007/s12237-013-9701-5</w:t>
        </w:r>
      </w:hyperlink>
    </w:p>
    <w:bookmarkEnd w:id="91"/>
    <w:bookmarkStart w:id="93"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2">
        <w:r>
          <w:rPr>
            <w:rStyle w:val="Hyperlink"/>
          </w:rPr>
          <w:t xml:space="preserve">https://doi.org/10.4031/MTSJ.52.3.6</w:t>
        </w:r>
      </w:hyperlink>
    </w:p>
    <w:bookmarkEnd w:id="93"/>
    <w:bookmarkStart w:id="95" w:name="ref-Chen19"/>
    <w:p>
      <w:pPr>
        <w:pStyle w:val="Bibliography"/>
      </w:pPr>
      <w:r>
        <w:t xml:space="preserve">Chen, J., Weisberg, R.H., Liu, Y., Zheng, L., Zhu, J., 2019. On the momentum balance of tampa bay. Journal of Geophysical Research: Oceans 124, 4492–4510.</w:t>
      </w:r>
      <w:r>
        <w:t xml:space="preserve"> </w:t>
      </w:r>
      <w:hyperlink r:id="rId94">
        <w:r>
          <w:rPr>
            <w:rStyle w:val="Hyperlink"/>
          </w:rPr>
          <w:t xml:space="preserve">https://doi.org/10.1029/2018JC014890</w:t>
        </w:r>
      </w:hyperlink>
    </w:p>
    <w:bookmarkEnd w:id="95"/>
    <w:bookmarkStart w:id="97"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96">
        <w:r>
          <w:rPr>
            <w:rStyle w:val="Hyperlink"/>
          </w:rPr>
          <w:t xml:space="preserve">https://doi.org/10.1890/1051-0761(2006)016[1405:UOGMAI]2.0.CO;2</w:t>
        </w:r>
      </w:hyperlink>
    </w:p>
    <w:bookmarkEnd w:id="97"/>
    <w:bookmarkStart w:id="98" w:name="ref-DAgostino20"/>
    <w:p>
      <w:pPr>
        <w:pStyle w:val="Bibliography"/>
      </w:pPr>
      <w:r>
        <w:t xml:space="preserve">D’Agostino McGowan, L., Bryan, J., 2020. Googledrive: An interface to google drive.</w:t>
      </w:r>
    </w:p>
    <w:bookmarkEnd w:id="98"/>
    <w:bookmarkStart w:id="99"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99"/>
    <w:bookmarkStart w:id="100"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0"/>
    <w:bookmarkStart w:id="102"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1">
        <w:r>
          <w:rPr>
            <w:rStyle w:val="Hyperlink"/>
          </w:rPr>
          <w:t xml:space="preserve">https://www.jstor.org/stable/24322132</w:t>
        </w:r>
      </w:hyperlink>
    </w:p>
    <w:bookmarkEnd w:id="102"/>
    <w:bookmarkStart w:id="104"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3">
        <w:r>
          <w:rPr>
            <w:rStyle w:val="Hyperlink"/>
          </w:rPr>
          <w:t xml:space="preserve">https://doi.org/10.1007/s00027-011-0180-0</w:t>
        </w:r>
      </w:hyperlink>
    </w:p>
    <w:bookmarkEnd w:id="104"/>
    <w:bookmarkStart w:id="106"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5">
        <w:r>
          <w:rPr>
            <w:rStyle w:val="Hyperlink"/>
          </w:rPr>
          <w:t xml:space="preserve">https://doi.org/10.1016/j.marpolbul.2015.10.047</w:t>
        </w:r>
      </w:hyperlink>
    </w:p>
    <w:bookmarkEnd w:id="106"/>
    <w:bookmarkStart w:id="107"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07"/>
    <w:bookmarkStart w:id="109"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8">
        <w:r>
          <w:rPr>
            <w:rStyle w:val="Hyperlink"/>
          </w:rPr>
          <w:t xml:space="preserve">https://doi.org/10.1007/s12237-010-9350-x</w:t>
        </w:r>
      </w:hyperlink>
    </w:p>
    <w:bookmarkEnd w:id="109"/>
    <w:bookmarkStart w:id="111"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0">
        <w:r>
          <w:rPr>
            <w:rStyle w:val="Hyperlink"/>
          </w:rPr>
          <w:t xml:space="preserve">https://doi.org/10.1016/j.marpolbul.2010.11.017</w:t>
        </w:r>
      </w:hyperlink>
    </w:p>
    <w:bookmarkEnd w:id="111"/>
    <w:bookmarkStart w:id="113"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12">
        <w:r>
          <w:rPr>
            <w:rStyle w:val="Hyperlink"/>
          </w:rPr>
          <w:t xml:space="preserve">https://doi.org/10.3389/fmars.2021.605858</w:t>
        </w:r>
      </w:hyperlink>
    </w:p>
    <w:bookmarkEnd w:id="113"/>
    <w:bookmarkStart w:id="115"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4">
        <w:r>
          <w:rPr>
            <w:rStyle w:val="Hyperlink"/>
          </w:rPr>
          <w:t xml:space="preserve">https://doi.org/10.1007/s00267-005-0079-4</w:t>
        </w:r>
      </w:hyperlink>
    </w:p>
    <w:bookmarkEnd w:id="115"/>
    <w:bookmarkStart w:id="116"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6"/>
    <w:bookmarkStart w:id="118"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7">
        <w:r>
          <w:rPr>
            <w:rStyle w:val="Hyperlink"/>
          </w:rPr>
          <w:t xml:space="preserve">https://doi.org/10.1016/j.ecss.2014.10.003</w:t>
        </w:r>
      </w:hyperlink>
    </w:p>
    <w:bookmarkEnd w:id="118"/>
    <w:bookmarkStart w:id="119" w:name="ref-Helsel05"/>
    <w:p>
      <w:pPr>
        <w:pStyle w:val="Bibliography"/>
      </w:pPr>
      <w:r>
        <w:t xml:space="preserve">Helsel, D.R., 2005. Nondectects and data analysis: Statistics for censored environmental data. John Wiley &amp; Sons, New Jersey, USA.</w:t>
      </w:r>
    </w:p>
    <w:bookmarkEnd w:id="119"/>
    <w:bookmarkStart w:id="120"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20"/>
    <w:bookmarkStart w:id="121" w:name="ref-Hollander13"/>
    <w:p>
      <w:pPr>
        <w:pStyle w:val="Bibliography"/>
      </w:pPr>
      <w:r>
        <w:t xml:space="preserve">Hollander, M., Wolfe, D.A., Chicken, E., 2013. Nonparametric statistical methods. John Wiley &amp; Sons.</w:t>
      </w:r>
    </w:p>
    <w:bookmarkEnd w:id="121"/>
    <w:bookmarkStart w:id="122" w:name="ref-Holm79"/>
    <w:p>
      <w:pPr>
        <w:pStyle w:val="Bibliography"/>
      </w:pPr>
      <w:r>
        <w:t xml:space="preserve">Holm, S., 1979. A simple sequentially rejective multiple test procedure. Scandinavian journal of statistics 65–70.</w:t>
      </w:r>
    </w:p>
    <w:bookmarkEnd w:id="122"/>
    <w:bookmarkStart w:id="124"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23">
        <w:r>
          <w:rPr>
            <w:rStyle w:val="Hyperlink"/>
          </w:rPr>
          <w:t xml:space="preserve">https://doi.org/10.4319/lo.2006.51.1_part_2.0364</w:t>
        </w:r>
      </w:hyperlink>
    </w:p>
    <w:bookmarkEnd w:id="124"/>
    <w:bookmarkStart w:id="126" w:name="ref-Hudson11"/>
    <w:p>
      <w:pPr>
        <w:pStyle w:val="Bibliography"/>
      </w:pPr>
      <w:r>
        <w:t xml:space="preserve">Hudson-Edwards, K.A., Jamieson, H.E., Lottermoser, B.G., 2011. Mine wastes: Past, present, future. Elements 7, 375–380.</w:t>
      </w:r>
      <w:r>
        <w:t xml:space="preserve"> </w:t>
      </w:r>
      <w:hyperlink r:id="rId125">
        <w:r>
          <w:rPr>
            <w:rStyle w:val="Hyperlink"/>
          </w:rPr>
          <w:t xml:space="preserve">https://doi.org/10.2113/gselements.7.6.375</w:t>
        </w:r>
      </w:hyperlink>
    </w:p>
    <w:bookmarkEnd w:id="126"/>
    <w:bookmarkStart w:id="127"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7"/>
    <w:bookmarkStart w:id="128"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8"/>
    <w:bookmarkStart w:id="129"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29"/>
    <w:bookmarkStart w:id="131"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30">
        <w:r>
          <w:rPr>
            <w:rStyle w:val="Hyperlink"/>
          </w:rPr>
          <w:t xml:space="preserve">https://doi.org/10.1016/S0302-3524(80)80065-X</w:t>
        </w:r>
      </w:hyperlink>
    </w:p>
    <w:bookmarkEnd w:id="131"/>
    <w:bookmarkStart w:id="132"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2"/>
    <w:bookmarkStart w:id="133" w:name="ref-Lee20"/>
    <w:p>
      <w:pPr>
        <w:pStyle w:val="Bibliography"/>
      </w:pPr>
      <w:r>
        <w:t xml:space="preserve">Lee, L., 2020. NADA: Nondetects and data analysis for environmental data.</w:t>
      </w:r>
    </w:p>
    <w:bookmarkEnd w:id="133"/>
    <w:bookmarkStart w:id="135"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4">
        <w:r>
          <w:rPr>
            <w:rStyle w:val="Hyperlink"/>
          </w:rPr>
          <w:t xml:space="preserve">https://doi.org/10.1002/2016JC011938</w:t>
        </w:r>
      </w:hyperlink>
    </w:p>
    <w:bookmarkEnd w:id="135"/>
    <w:bookmarkStart w:id="137"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36">
        <w:r>
          <w:rPr>
            <w:rStyle w:val="Hyperlink"/>
          </w:rPr>
          <w:t xml:space="preserve">https://doi.org/10.1016/j.ocecoaman.2005.07.002</w:t>
        </w:r>
      </w:hyperlink>
    </w:p>
    <w:bookmarkEnd w:id="137"/>
    <w:bookmarkStart w:id="139"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38">
        <w:r>
          <w:rPr>
            <w:rStyle w:val="Hyperlink"/>
          </w:rPr>
          <w:t xml:space="preserve">https://doi.org/10.1016/j.hal.2020.101900</w:t>
        </w:r>
      </w:hyperlink>
    </w:p>
    <w:bookmarkEnd w:id="139"/>
    <w:bookmarkStart w:id="141"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0">
        <w:r>
          <w:rPr>
            <w:rStyle w:val="Hyperlink"/>
          </w:rPr>
          <w:t xml:space="preserve">https://doi.org/10.1016/j.envsoft.2019.03.027</w:t>
        </w:r>
      </w:hyperlink>
    </w:p>
    <w:bookmarkEnd w:id="141"/>
    <w:bookmarkStart w:id="143" w:name="ref-Nelson21"/>
    <w:p>
      <w:pPr>
        <w:pStyle w:val="Bibliography"/>
      </w:pPr>
      <w:r>
        <w:t xml:space="preserve">Nelson, N.G., Cuchiara, M.L., Hendren, C.O., Jones, J.L., Marshall, A.M., 2021. Hazardous spills at retired fertilizer manufacturing plants will continue to occur in the absence of scientific innovation and regulatory enforcement. Environmental Science &amp; Technology -, –.</w:t>
      </w:r>
      <w:r>
        <w:t xml:space="preserve"> </w:t>
      </w:r>
      <w:hyperlink r:id="rId142">
        <w:r>
          <w:rPr>
            <w:rStyle w:val="Hyperlink"/>
          </w:rPr>
          <w:t xml:space="preserve">https://doi.org/10.1021/acs.est.1c05311</w:t>
        </w:r>
      </w:hyperlink>
    </w:p>
    <w:bookmarkEnd w:id="143"/>
    <w:bookmarkStart w:id="145" w:name="ref-Nixon95"/>
    <w:p>
      <w:pPr>
        <w:pStyle w:val="Bibliography"/>
      </w:pPr>
      <w:r>
        <w:t xml:space="preserve">Nixon, S.W., 1995. Coastal marine eutrophication: A definition, social causes, and future concerns. Ophelia 41, 199–219.</w:t>
      </w:r>
      <w:r>
        <w:t xml:space="preserve"> </w:t>
      </w:r>
      <w:hyperlink r:id="rId144">
        <w:r>
          <w:rPr>
            <w:rStyle w:val="Hyperlink"/>
          </w:rPr>
          <w:t xml:space="preserve">https://doi.org/10.1080/00785236.1995.10422044</w:t>
        </w:r>
      </w:hyperlink>
    </w:p>
    <w:bookmarkEnd w:id="145"/>
    <w:bookmarkStart w:id="146"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46"/>
    <w:bookmarkStart w:id="148"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7">
        <w:r>
          <w:rPr>
            <w:rStyle w:val="Hyperlink"/>
          </w:rPr>
          <w:t xml:space="preserve">https://doi.org/10.32614/RJ-2018-009</w:t>
        </w:r>
      </w:hyperlink>
    </w:p>
    <w:bookmarkEnd w:id="148"/>
    <w:bookmarkStart w:id="150"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9">
        <w:r>
          <w:rPr>
            <w:rStyle w:val="Hyperlink"/>
          </w:rPr>
          <w:t xml:space="preserve">https://doi.org/10.1016/j.scitotenv.2016.02.070</w:t>
        </w:r>
      </w:hyperlink>
    </w:p>
    <w:bookmarkEnd w:id="150"/>
    <w:bookmarkStart w:id="152"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51">
        <w:r>
          <w:rPr>
            <w:rStyle w:val="Hyperlink"/>
          </w:rPr>
          <w:t xml:space="preserve">https://doi.org/10.1016/j.apgeochem.2010.02.003</w:t>
        </w:r>
      </w:hyperlink>
    </w:p>
    <w:bookmarkEnd w:id="152"/>
    <w:bookmarkStart w:id="153" w:name="ref-RCT20"/>
    <w:p>
      <w:pPr>
        <w:pStyle w:val="Bibliography"/>
      </w:pPr>
      <w:r>
        <w:t xml:space="preserve">R Core Team, 2020. R: A language and environment for statistical computing, v4.0.3. R Foundation for Statistical Computing, Vienna, Austria.</w:t>
      </w:r>
    </w:p>
    <w:bookmarkEnd w:id="153"/>
    <w:bookmarkStart w:id="155"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4">
        <w:r>
          <w:rPr>
            <w:rStyle w:val="Hyperlink"/>
          </w:rPr>
          <w:t xml:space="preserve">https://doi.org/10.1007/s11270-013-1742-7</w:t>
        </w:r>
      </w:hyperlink>
    </w:p>
    <w:bookmarkEnd w:id="155"/>
    <w:bookmarkStart w:id="157"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56">
        <w:r>
          <w:rPr>
            <w:rStyle w:val="Hyperlink"/>
          </w:rPr>
          <w:t xml:space="preserve">https://doi.org/10.1016/j.ecolind.2020.107310</w:t>
        </w:r>
      </w:hyperlink>
    </w:p>
    <w:bookmarkEnd w:id="157"/>
    <w:bookmarkStart w:id="159"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58">
        <w:r>
          <w:rPr>
            <w:rStyle w:val="Hyperlink"/>
          </w:rPr>
          <w:t xml:space="preserve">https://doi.org/10.1353/sgo.2017.0026</w:t>
        </w:r>
      </w:hyperlink>
    </w:p>
    <w:bookmarkEnd w:id="159"/>
    <w:bookmarkStart w:id="161"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60">
        <w:r>
          <w:rPr>
            <w:rStyle w:val="Hyperlink"/>
          </w:rPr>
          <w:t xml:space="preserve">https://doi.org/10.1016/j.hal.2021.102118</w:t>
        </w:r>
      </w:hyperlink>
    </w:p>
    <w:bookmarkEnd w:id="161"/>
    <w:bookmarkStart w:id="163"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62">
        <w:r>
          <w:rPr>
            <w:rStyle w:val="Hyperlink"/>
          </w:rPr>
          <w:t xml:space="preserve">https://doi.org/10.1016/j.jembe.2005.11.025</w:t>
        </w:r>
      </w:hyperlink>
    </w:p>
    <w:bookmarkEnd w:id="163"/>
    <w:bookmarkStart w:id="165"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64">
        <w:r>
          <w:rPr>
            <w:rStyle w:val="Hyperlink"/>
          </w:rPr>
          <w:t xml:space="preserve">https://doi.org/10.1080/00139307509435842</w:t>
        </w:r>
      </w:hyperlink>
    </w:p>
    <w:bookmarkEnd w:id="165"/>
    <w:bookmarkStart w:id="167"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66">
        <w:r>
          <w:rPr>
            <w:rStyle w:val="Hyperlink"/>
          </w:rPr>
          <w:t xml:space="preserve">https://doi.org/10.1080/00139307209435473</w:t>
        </w:r>
      </w:hyperlink>
    </w:p>
    <w:bookmarkEnd w:id="167"/>
    <w:bookmarkStart w:id="168"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68"/>
    <w:bookmarkStart w:id="170"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69">
        <w:r>
          <w:rPr>
            <w:rStyle w:val="Hyperlink"/>
          </w:rPr>
          <w:t xml:space="preserve">https://doi.org/10.1016/j.jenvman.2009.03.007</w:t>
        </w:r>
      </w:hyperlink>
    </w:p>
    <w:bookmarkEnd w:id="170"/>
    <w:bookmarkStart w:id="172"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71">
        <w:r>
          <w:rPr>
            <w:rStyle w:val="Hyperlink"/>
          </w:rPr>
          <w:t xml:space="preserve">https://doi.org/10.1016/j.marpolbul.2020.111247</w:t>
        </w:r>
      </w:hyperlink>
    </w:p>
    <w:bookmarkEnd w:id="172"/>
    <w:bookmarkStart w:id="174"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73">
        <w:r>
          <w:rPr>
            <w:rStyle w:val="Hyperlink"/>
          </w:rPr>
          <w:t xml:space="preserve">https://doi.org/10.1016/j.marpolbul.2018.08.049</w:t>
        </w:r>
      </w:hyperlink>
    </w:p>
    <w:bookmarkEnd w:id="174"/>
    <w:bookmarkStart w:id="176"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75">
        <w:r>
          <w:rPr>
            <w:rStyle w:val="Hyperlink"/>
          </w:rPr>
          <w:t xml:space="preserve">https://doi.org/10.4319/lo.1997.42.5_part_2.1105</w:t>
        </w:r>
      </w:hyperlink>
    </w:p>
    <w:bookmarkEnd w:id="176"/>
    <w:bookmarkStart w:id="177"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77"/>
    <w:bookmarkStart w:id="179"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78">
        <w:r>
          <w:rPr>
            <w:rStyle w:val="Hyperlink"/>
          </w:rPr>
          <w:t xml:space="preserve">https://doi.org/10.1029/2018JC014887</w:t>
        </w:r>
      </w:hyperlink>
    </w:p>
    <w:bookmarkEnd w:id="179"/>
    <w:bookmarkStart w:id="181"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80">
        <w:r>
          <w:rPr>
            <w:rStyle w:val="Hyperlink"/>
          </w:rPr>
          <w:t xml:space="preserve">https://doi.org/10.1016/j.hal.2014.04.010</w:t>
        </w:r>
      </w:hyperlink>
    </w:p>
    <w:bookmarkEnd w:id="181"/>
    <w:bookmarkStart w:id="183"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82">
        <w:r>
          <w:rPr>
            <w:rStyle w:val="Hyperlink"/>
          </w:rPr>
          <w:t xml:space="preserve">https://doi.org/10.21105/joss.01686</w:t>
        </w:r>
      </w:hyperlink>
    </w:p>
    <w:bookmarkEnd w:id="183"/>
    <w:bookmarkStart w:id="184" w:name="ref-Wood17"/>
    <w:p>
      <w:pPr>
        <w:pStyle w:val="Bibliography"/>
      </w:pPr>
      <w:r>
        <w:t xml:space="preserve">Wood, S.N., 2017. Generalized additive models: An introduction with r, 2nd ed. Chapman; Hall, CRC Press, London, United Kingdom.</w:t>
      </w:r>
    </w:p>
    <w:bookmarkEnd w:id="184"/>
    <w:bookmarkEnd w:id="185"/>
    <w:bookmarkEnd w:id="186"/>
    <w:sectPr w:rsidR="00537D25" w:rsidRPr="00D40009" w:rsidSect="003C73CD">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7"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F9205D"/>
    <w:pPr>
      <w:spacing w:after="180" w:before="180"/>
    </w:pPr>
  </w:style>
  <w:style w:customStyle="1" w:styleId="FirstParagraph" w:type="paragraph">
    <w:name w:val="First Paragraph"/>
    <w:basedOn w:val="BodyText"/>
    <w:next w:val="BodyText"/>
    <w:qFormat/>
    <w:rsid w:val="00F9205D"/>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F9205D"/>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4" Target="media/rId64.jpg" /><Relationship Type="http://schemas.openxmlformats.org/officeDocument/2006/relationships/image" Id="rId65" Target="media/rId65.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67" Target="media/rId67.jpg" /><Relationship Type="http://schemas.openxmlformats.org/officeDocument/2006/relationships/image" Id="rId66" Target="media/rId66.jpg" /><Relationship Type="http://schemas.openxmlformats.org/officeDocument/2006/relationships/image" Id="rId73" Target="media/rId73.jpg" /><Relationship Type="http://schemas.openxmlformats.org/officeDocument/2006/relationships/image" Id="rId70" Target="media/rId70.jpg" /><Relationship Type="http://schemas.openxmlformats.org/officeDocument/2006/relationships/hyperlink" Id="rId42" Target="http://blogs.ifas.ufl.edu/news/2019/03/19/citizen-scientists-needed-to-survey-seagrass-seaweed-in-charlotte-harbor/" TargetMode="External" /><Relationship Type="http://schemas.openxmlformats.org/officeDocument/2006/relationships/hyperlink" Id="rId134" Target="https://doi.org/10.1002/2016JC011938" TargetMode="External" /><Relationship Type="http://schemas.openxmlformats.org/officeDocument/2006/relationships/hyperlink" Id="rId103" Target="https://doi.org/10.1007/s00027-011-0180-0" TargetMode="External" /><Relationship Type="http://schemas.openxmlformats.org/officeDocument/2006/relationships/hyperlink" Id="rId114" Target="https://doi.org/10.1007/s00267-005-0079-4" TargetMode="External" /><Relationship Type="http://schemas.openxmlformats.org/officeDocument/2006/relationships/hyperlink" Id="rId154" Target="https://doi.org/10.1007/s11270-013-1742-7" TargetMode="External" /><Relationship Type="http://schemas.openxmlformats.org/officeDocument/2006/relationships/hyperlink" Id="rId108" Target="https://doi.org/10.1007/s12237-010-9350-x" TargetMode="External" /><Relationship Type="http://schemas.openxmlformats.org/officeDocument/2006/relationships/hyperlink" Id="rId90" Target="https://doi.org/10.1007/s12237-013-9701-5" TargetMode="External" /><Relationship Type="http://schemas.openxmlformats.org/officeDocument/2006/relationships/hyperlink" Id="rId84" Target="https://doi.org/10.1007/s12237-017-0287-1" TargetMode="External" /><Relationship Type="http://schemas.openxmlformats.org/officeDocument/2006/relationships/hyperlink" Id="rId88" Target="https://doi.org/10.1016/S0265-931X(00)00164-8" TargetMode="External" /><Relationship Type="http://schemas.openxmlformats.org/officeDocument/2006/relationships/hyperlink" Id="rId130" Target="https://doi.org/10.1016/S0302-3524(80)80065-X" TargetMode="External" /><Relationship Type="http://schemas.openxmlformats.org/officeDocument/2006/relationships/hyperlink" Id="rId151" Target="https://doi.org/10.1016/j.apgeochem.2010.02.003" TargetMode="External" /><Relationship Type="http://schemas.openxmlformats.org/officeDocument/2006/relationships/hyperlink" Id="rId156" Target="https://doi.org/10.1016/j.ecolind.2020.107310" TargetMode="External" /><Relationship Type="http://schemas.openxmlformats.org/officeDocument/2006/relationships/hyperlink" Id="rId117" Target="https://doi.org/10.1016/j.ecss.2014.10.003" TargetMode="External" /><Relationship Type="http://schemas.openxmlformats.org/officeDocument/2006/relationships/hyperlink" Id="rId140" Target="https://doi.org/10.1016/j.envsoft.2019.03.027" TargetMode="External" /><Relationship Type="http://schemas.openxmlformats.org/officeDocument/2006/relationships/hyperlink" Id="rId76" Target="https://doi.org/10.1016/j.hal.2006.08.004" TargetMode="External" /><Relationship Type="http://schemas.openxmlformats.org/officeDocument/2006/relationships/hyperlink" Id="rId180" Target="https://doi.org/10.1016/j.hal.2014.04.010" TargetMode="External" /><Relationship Type="http://schemas.openxmlformats.org/officeDocument/2006/relationships/hyperlink" Id="rId138" Target="https://doi.org/10.1016/j.hal.2020.101900" TargetMode="External" /><Relationship Type="http://schemas.openxmlformats.org/officeDocument/2006/relationships/hyperlink" Id="rId160" Target="https://doi.org/10.1016/j.hal.2021.102118" TargetMode="External" /><Relationship Type="http://schemas.openxmlformats.org/officeDocument/2006/relationships/hyperlink" Id="rId162" Target="https://doi.org/10.1016/j.jembe.2005.11.025" TargetMode="External" /><Relationship Type="http://schemas.openxmlformats.org/officeDocument/2006/relationships/hyperlink" Id="rId169" Target="https://doi.org/10.1016/j.jenvman.2009.03.007" TargetMode="External" /><Relationship Type="http://schemas.openxmlformats.org/officeDocument/2006/relationships/hyperlink" Id="rId78" Target="https://doi.org/10.1016/j.marpolbul.2004.10.016" TargetMode="External" /><Relationship Type="http://schemas.openxmlformats.org/officeDocument/2006/relationships/hyperlink" Id="rId110" Target="https://doi.org/10.1016/j.marpolbul.2010.11.017" TargetMode="External" /><Relationship Type="http://schemas.openxmlformats.org/officeDocument/2006/relationships/hyperlink" Id="rId105" Target="https://doi.org/10.1016/j.marpolbul.2015.10.047" TargetMode="External" /><Relationship Type="http://schemas.openxmlformats.org/officeDocument/2006/relationships/hyperlink" Id="rId173" Target="https://doi.org/10.1016/j.marpolbul.2018.08.049" TargetMode="External" /><Relationship Type="http://schemas.openxmlformats.org/officeDocument/2006/relationships/hyperlink" Id="rId171" Target="https://doi.org/10.1016/j.marpolbul.2020.111247" TargetMode="External" /><Relationship Type="http://schemas.openxmlformats.org/officeDocument/2006/relationships/hyperlink" Id="rId136" Target="https://doi.org/10.1016/j.ocecoaman.2005.07.002" TargetMode="External" /><Relationship Type="http://schemas.openxmlformats.org/officeDocument/2006/relationships/hyperlink" Id="rId149" Target="https://doi.org/10.1016/j.scitotenv.2016.02.070" TargetMode="External" /><Relationship Type="http://schemas.openxmlformats.org/officeDocument/2006/relationships/hyperlink" Id="rId142" Target="https://doi.org/10.1021/acs.est.1c05311" TargetMode="External" /><Relationship Type="http://schemas.openxmlformats.org/officeDocument/2006/relationships/hyperlink" Id="rId178" Target="https://doi.org/10.1029/2018JC014887" TargetMode="External" /><Relationship Type="http://schemas.openxmlformats.org/officeDocument/2006/relationships/hyperlink" Id="rId94" Target="https://doi.org/10.1029/2018JC014890" TargetMode="External" /><Relationship Type="http://schemas.openxmlformats.org/officeDocument/2006/relationships/hyperlink" Id="rId166" Target="https://doi.org/10.1080/00139307209435473" TargetMode="External" /><Relationship Type="http://schemas.openxmlformats.org/officeDocument/2006/relationships/hyperlink" Id="rId164" Target="https://doi.org/10.1080/00139307509435842" TargetMode="External" /><Relationship Type="http://schemas.openxmlformats.org/officeDocument/2006/relationships/hyperlink" Id="rId144" Target="https://doi.org/10.1080/00785236.1995.10422044" TargetMode="External" /><Relationship Type="http://schemas.openxmlformats.org/officeDocument/2006/relationships/hyperlink" Id="rId158" Target="https://doi.org/10.1353/sgo.2017.0026" TargetMode="External" /><Relationship Type="http://schemas.openxmlformats.org/officeDocument/2006/relationships/hyperlink" Id="rId82" Target="https://doi.org/10.18785/gcr.2901.02" TargetMode="External" /><Relationship Type="http://schemas.openxmlformats.org/officeDocument/2006/relationships/hyperlink" Id="rId96" Target="https://doi.org/10.1890/1051-0761(2006)016[1405:UOGMAI]2.0.CO;2" TargetMode="External" /><Relationship Type="http://schemas.openxmlformats.org/officeDocument/2006/relationships/hyperlink" Id="rId182" Target="https://doi.org/10.21105/joss.01686" TargetMode="External" /><Relationship Type="http://schemas.openxmlformats.org/officeDocument/2006/relationships/hyperlink" Id="rId125" Target="https://doi.org/10.2113/gselements.7.6.375" TargetMode="External" /><Relationship Type="http://schemas.openxmlformats.org/officeDocument/2006/relationships/hyperlink" Id="rId147" Target="https://doi.org/10.32614/RJ-2018-009" TargetMode="External" /><Relationship Type="http://schemas.openxmlformats.org/officeDocument/2006/relationships/hyperlink" Id="rId112" Target="https://doi.org/10.3389/fmars.2021.605858" TargetMode="External" /><Relationship Type="http://schemas.openxmlformats.org/officeDocument/2006/relationships/hyperlink" Id="rId92" Target="https://doi.org/10.4031/MTSJ.52.3.6" TargetMode="External" /><Relationship Type="http://schemas.openxmlformats.org/officeDocument/2006/relationships/hyperlink" Id="rId80" Target="https://doi.org/10.4319/lo.1976.21.2.0212" TargetMode="External" /><Relationship Type="http://schemas.openxmlformats.org/officeDocument/2006/relationships/hyperlink" Id="rId175" Target="https://doi.org/10.4319/lo.1997.42.5_part_2.1105" TargetMode="External" /><Relationship Type="http://schemas.openxmlformats.org/officeDocument/2006/relationships/hyperlink" Id="rId123" Target="https://doi.org/10.4319/lo.2006.51.1_part_2.0364" TargetMode="External" /><Relationship Type="http://schemas.openxmlformats.org/officeDocument/2006/relationships/hyperlink" Id="rId40" Target="https://floridadep.gov/sites/default/files/21-0323.pdf" TargetMode="External" /><Relationship Type="http://schemas.openxmlformats.org/officeDocument/2006/relationships/hyperlink" Id="rId60" Target="https://myfwc.com/media/25649/2021preliminaryredtide.pdf" TargetMode="External" /><Relationship Type="http://schemas.openxmlformats.org/officeDocument/2006/relationships/hyperlink" Id="rId61" Target="https://myfwc.com/research/manatee/rescue-mortality-response/ume/" TargetMode="External" /><Relationship Type="http://schemas.openxmlformats.org/officeDocument/2006/relationships/hyperlink" Id="rId51" Target="https://myfwc.com/research/redtide/statewide/" TargetMode="External" /><Relationship Type="http://schemas.openxmlformats.org/officeDocument/2006/relationships/hyperlink" Id="rId55" Target="https://prodenv.dep.state.fl.us/DepPNP/reports/viewIncidentDetails" TargetMode="External" /><Relationship Type="http://schemas.openxmlformats.org/officeDocument/2006/relationships/hyperlink" Id="rId72" Target="https://public.myfwc.com/FWRI/FishKillReport/" TargetMode="External" /><Relationship Type="http://schemas.openxmlformats.org/officeDocument/2006/relationships/hyperlink" Id="rId58" Target="https://shiny.tbep.org/piney-point" TargetMode="External" /><Relationship Type="http://schemas.openxmlformats.org/officeDocument/2006/relationships/hyperlink" Id="rId45" Target="https://shiny.tbep.org/piney-point/" TargetMode="External" /><Relationship Type="http://schemas.openxmlformats.org/officeDocument/2006/relationships/hyperlink" Id="rId57" Target="https://tbep-tech.github.io/load-estimates/" TargetMode="External" /><Relationship Type="http://schemas.openxmlformats.org/officeDocument/2006/relationships/hyperlink" Id="rId59" Target="https://tbep-tech.github.io/piney-point-analysis/benthic" TargetMode="External" /><Relationship Type="http://schemas.openxmlformats.org/officeDocument/2006/relationships/hyperlink" Id="rId56" Target="https://tbep-tech.github.io/piney-point-analysis/spills" TargetMode="External" /><Relationship Type="http://schemas.openxmlformats.org/officeDocument/2006/relationships/hyperlink" Id="rId44" Target="https://wateratlas.usf.edu/" TargetMode="External" /><Relationship Type="http://schemas.openxmlformats.org/officeDocument/2006/relationships/hyperlink" Id="rId101" Target="https://www.jstor.org/stable/24322132" TargetMode="External" /><Relationship Type="http://schemas.openxmlformats.org/officeDocument/2006/relationships/hyperlink" Id="rId71"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28"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5"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0" Target="mailto:elise.morrison@essie.ufl.edu" TargetMode="External" /><Relationship Type="http://schemas.openxmlformats.org/officeDocument/2006/relationships/hyperlink" Id="rId34" Target="mailto:esherwood@tbep.org" TargetMode="External" /><Relationship Type="http://schemas.openxmlformats.org/officeDocument/2006/relationships/hyperlink" Id="rId32"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29" Target="mailto:miles.medina@ufl.edu" TargetMode="External" /><Relationship Type="http://schemas.openxmlformats.org/officeDocument/2006/relationships/hyperlink" Id="rId37" Target="mailto:nijole.wellendorf@floridadep.org" TargetMode="External" /><Relationship Type="http://schemas.openxmlformats.org/officeDocument/2006/relationships/hyperlink" Id="rId31" Target="mailto:phlips@ufl.edu" TargetMode="External" /><Relationship Type="http://schemas.openxmlformats.org/officeDocument/2006/relationships/hyperlink" Id="rId33" Target="mailto:sscolaro@tbep.org" TargetMode="External" /><Relationship Type="http://schemas.openxmlformats.org/officeDocument/2006/relationships/hyperlink" Id="rId36" Target="mailto:weisberg@usf.edu" TargetMode="External" /><Relationship Type="http://schemas.openxmlformats.org/officeDocument/2006/relationships/hyperlink" Id="rId27" Target="mailto:yliu@usf.edu" TargetMode="External" /></Relationships>
</file>

<file path=word/_rels/footnotes.xml.rels><?xml version="1.0" encoding="UTF-8"?><Relationships xmlns="http://schemas.openxmlformats.org/package/2006/relationships"><Relationship Type="http://schemas.openxmlformats.org/officeDocument/2006/relationships/hyperlink" Id="rId42" Target="http://blogs.ifas.ufl.edu/news/2019/03/19/citizen-scientists-needed-to-survey-seagrass-seaweed-in-charlotte-harbor/" TargetMode="External" /><Relationship Type="http://schemas.openxmlformats.org/officeDocument/2006/relationships/hyperlink" Id="rId134" Target="https://doi.org/10.1002/2016JC011938" TargetMode="External" /><Relationship Type="http://schemas.openxmlformats.org/officeDocument/2006/relationships/hyperlink" Id="rId103" Target="https://doi.org/10.1007/s00027-011-0180-0" TargetMode="External" /><Relationship Type="http://schemas.openxmlformats.org/officeDocument/2006/relationships/hyperlink" Id="rId114" Target="https://doi.org/10.1007/s00267-005-0079-4" TargetMode="External" /><Relationship Type="http://schemas.openxmlformats.org/officeDocument/2006/relationships/hyperlink" Id="rId154" Target="https://doi.org/10.1007/s11270-013-1742-7" TargetMode="External" /><Relationship Type="http://schemas.openxmlformats.org/officeDocument/2006/relationships/hyperlink" Id="rId108" Target="https://doi.org/10.1007/s12237-010-9350-x" TargetMode="External" /><Relationship Type="http://schemas.openxmlformats.org/officeDocument/2006/relationships/hyperlink" Id="rId90" Target="https://doi.org/10.1007/s12237-013-9701-5" TargetMode="External" /><Relationship Type="http://schemas.openxmlformats.org/officeDocument/2006/relationships/hyperlink" Id="rId84" Target="https://doi.org/10.1007/s12237-017-0287-1" TargetMode="External" /><Relationship Type="http://schemas.openxmlformats.org/officeDocument/2006/relationships/hyperlink" Id="rId88" Target="https://doi.org/10.1016/S0265-931X(00)00164-8" TargetMode="External" /><Relationship Type="http://schemas.openxmlformats.org/officeDocument/2006/relationships/hyperlink" Id="rId130" Target="https://doi.org/10.1016/S0302-3524(80)80065-X" TargetMode="External" /><Relationship Type="http://schemas.openxmlformats.org/officeDocument/2006/relationships/hyperlink" Id="rId151" Target="https://doi.org/10.1016/j.apgeochem.2010.02.003" TargetMode="External" /><Relationship Type="http://schemas.openxmlformats.org/officeDocument/2006/relationships/hyperlink" Id="rId156" Target="https://doi.org/10.1016/j.ecolind.2020.107310" TargetMode="External" /><Relationship Type="http://schemas.openxmlformats.org/officeDocument/2006/relationships/hyperlink" Id="rId117" Target="https://doi.org/10.1016/j.ecss.2014.10.003" TargetMode="External" /><Relationship Type="http://schemas.openxmlformats.org/officeDocument/2006/relationships/hyperlink" Id="rId140" Target="https://doi.org/10.1016/j.envsoft.2019.03.027" TargetMode="External" /><Relationship Type="http://schemas.openxmlformats.org/officeDocument/2006/relationships/hyperlink" Id="rId76" Target="https://doi.org/10.1016/j.hal.2006.08.004" TargetMode="External" /><Relationship Type="http://schemas.openxmlformats.org/officeDocument/2006/relationships/hyperlink" Id="rId180" Target="https://doi.org/10.1016/j.hal.2014.04.010" TargetMode="External" /><Relationship Type="http://schemas.openxmlformats.org/officeDocument/2006/relationships/hyperlink" Id="rId138" Target="https://doi.org/10.1016/j.hal.2020.101900" TargetMode="External" /><Relationship Type="http://schemas.openxmlformats.org/officeDocument/2006/relationships/hyperlink" Id="rId160" Target="https://doi.org/10.1016/j.hal.2021.102118" TargetMode="External" /><Relationship Type="http://schemas.openxmlformats.org/officeDocument/2006/relationships/hyperlink" Id="rId162" Target="https://doi.org/10.1016/j.jembe.2005.11.025" TargetMode="External" /><Relationship Type="http://schemas.openxmlformats.org/officeDocument/2006/relationships/hyperlink" Id="rId169" Target="https://doi.org/10.1016/j.jenvman.2009.03.007" TargetMode="External" /><Relationship Type="http://schemas.openxmlformats.org/officeDocument/2006/relationships/hyperlink" Id="rId78" Target="https://doi.org/10.1016/j.marpolbul.2004.10.016" TargetMode="External" /><Relationship Type="http://schemas.openxmlformats.org/officeDocument/2006/relationships/hyperlink" Id="rId110" Target="https://doi.org/10.1016/j.marpolbul.2010.11.017" TargetMode="External" /><Relationship Type="http://schemas.openxmlformats.org/officeDocument/2006/relationships/hyperlink" Id="rId105" Target="https://doi.org/10.1016/j.marpolbul.2015.10.047" TargetMode="External" /><Relationship Type="http://schemas.openxmlformats.org/officeDocument/2006/relationships/hyperlink" Id="rId173" Target="https://doi.org/10.1016/j.marpolbul.2018.08.049" TargetMode="External" /><Relationship Type="http://schemas.openxmlformats.org/officeDocument/2006/relationships/hyperlink" Id="rId171" Target="https://doi.org/10.1016/j.marpolbul.2020.111247" TargetMode="External" /><Relationship Type="http://schemas.openxmlformats.org/officeDocument/2006/relationships/hyperlink" Id="rId136" Target="https://doi.org/10.1016/j.ocecoaman.2005.07.002" TargetMode="External" /><Relationship Type="http://schemas.openxmlformats.org/officeDocument/2006/relationships/hyperlink" Id="rId149" Target="https://doi.org/10.1016/j.scitotenv.2016.02.070" TargetMode="External" /><Relationship Type="http://schemas.openxmlformats.org/officeDocument/2006/relationships/hyperlink" Id="rId142" Target="https://doi.org/10.1021/acs.est.1c05311" TargetMode="External" /><Relationship Type="http://schemas.openxmlformats.org/officeDocument/2006/relationships/hyperlink" Id="rId178" Target="https://doi.org/10.1029/2018JC014887" TargetMode="External" /><Relationship Type="http://schemas.openxmlformats.org/officeDocument/2006/relationships/hyperlink" Id="rId94" Target="https://doi.org/10.1029/2018JC014890" TargetMode="External" /><Relationship Type="http://schemas.openxmlformats.org/officeDocument/2006/relationships/hyperlink" Id="rId166" Target="https://doi.org/10.1080/00139307209435473" TargetMode="External" /><Relationship Type="http://schemas.openxmlformats.org/officeDocument/2006/relationships/hyperlink" Id="rId164" Target="https://doi.org/10.1080/00139307509435842" TargetMode="External" /><Relationship Type="http://schemas.openxmlformats.org/officeDocument/2006/relationships/hyperlink" Id="rId144" Target="https://doi.org/10.1080/00785236.1995.10422044" TargetMode="External" /><Relationship Type="http://schemas.openxmlformats.org/officeDocument/2006/relationships/hyperlink" Id="rId158" Target="https://doi.org/10.1353/sgo.2017.0026" TargetMode="External" /><Relationship Type="http://schemas.openxmlformats.org/officeDocument/2006/relationships/hyperlink" Id="rId82" Target="https://doi.org/10.18785/gcr.2901.02" TargetMode="External" /><Relationship Type="http://schemas.openxmlformats.org/officeDocument/2006/relationships/hyperlink" Id="rId96" Target="https://doi.org/10.1890/1051-0761(2006)016[1405:UOGMAI]2.0.CO;2" TargetMode="External" /><Relationship Type="http://schemas.openxmlformats.org/officeDocument/2006/relationships/hyperlink" Id="rId182" Target="https://doi.org/10.21105/joss.01686" TargetMode="External" /><Relationship Type="http://schemas.openxmlformats.org/officeDocument/2006/relationships/hyperlink" Id="rId125" Target="https://doi.org/10.2113/gselements.7.6.375" TargetMode="External" /><Relationship Type="http://schemas.openxmlformats.org/officeDocument/2006/relationships/hyperlink" Id="rId147" Target="https://doi.org/10.32614/RJ-2018-009" TargetMode="External" /><Relationship Type="http://schemas.openxmlformats.org/officeDocument/2006/relationships/hyperlink" Id="rId112" Target="https://doi.org/10.3389/fmars.2021.605858" TargetMode="External" /><Relationship Type="http://schemas.openxmlformats.org/officeDocument/2006/relationships/hyperlink" Id="rId92" Target="https://doi.org/10.4031/MTSJ.52.3.6" TargetMode="External" /><Relationship Type="http://schemas.openxmlformats.org/officeDocument/2006/relationships/hyperlink" Id="rId80" Target="https://doi.org/10.4319/lo.1976.21.2.0212" TargetMode="External" /><Relationship Type="http://schemas.openxmlformats.org/officeDocument/2006/relationships/hyperlink" Id="rId175" Target="https://doi.org/10.4319/lo.1997.42.5_part_2.1105" TargetMode="External" /><Relationship Type="http://schemas.openxmlformats.org/officeDocument/2006/relationships/hyperlink" Id="rId123" Target="https://doi.org/10.4319/lo.2006.51.1_part_2.0364" TargetMode="External" /><Relationship Type="http://schemas.openxmlformats.org/officeDocument/2006/relationships/hyperlink" Id="rId40" Target="https://floridadep.gov/sites/default/files/21-0323.pdf" TargetMode="External" /><Relationship Type="http://schemas.openxmlformats.org/officeDocument/2006/relationships/hyperlink" Id="rId60" Target="https://myfwc.com/media/25649/2021preliminaryredtide.pdf" TargetMode="External" /><Relationship Type="http://schemas.openxmlformats.org/officeDocument/2006/relationships/hyperlink" Id="rId61" Target="https://myfwc.com/research/manatee/rescue-mortality-response/ume/" TargetMode="External" /><Relationship Type="http://schemas.openxmlformats.org/officeDocument/2006/relationships/hyperlink" Id="rId51" Target="https://myfwc.com/research/redtide/statewide/" TargetMode="External" /><Relationship Type="http://schemas.openxmlformats.org/officeDocument/2006/relationships/hyperlink" Id="rId55" Target="https://prodenv.dep.state.fl.us/DepPNP/reports/viewIncidentDetails" TargetMode="External" /><Relationship Type="http://schemas.openxmlformats.org/officeDocument/2006/relationships/hyperlink" Id="rId72" Target="https://public.myfwc.com/FWRI/FishKillReport/" TargetMode="External" /><Relationship Type="http://schemas.openxmlformats.org/officeDocument/2006/relationships/hyperlink" Id="rId58" Target="https://shiny.tbep.org/piney-point" TargetMode="External" /><Relationship Type="http://schemas.openxmlformats.org/officeDocument/2006/relationships/hyperlink" Id="rId45" Target="https://shiny.tbep.org/piney-point/" TargetMode="External" /><Relationship Type="http://schemas.openxmlformats.org/officeDocument/2006/relationships/hyperlink" Id="rId57" Target="https://tbep-tech.github.io/load-estimates/" TargetMode="External" /><Relationship Type="http://schemas.openxmlformats.org/officeDocument/2006/relationships/hyperlink" Id="rId59" Target="https://tbep-tech.github.io/piney-point-analysis/benthic" TargetMode="External" /><Relationship Type="http://schemas.openxmlformats.org/officeDocument/2006/relationships/hyperlink" Id="rId56" Target="https://tbep-tech.github.io/piney-point-analysis/spills" TargetMode="External" /><Relationship Type="http://schemas.openxmlformats.org/officeDocument/2006/relationships/hyperlink" Id="rId44" Target="https://wateratlas.usf.edu/" TargetMode="External" /><Relationship Type="http://schemas.openxmlformats.org/officeDocument/2006/relationships/hyperlink" Id="rId101" Target="https://www.jstor.org/stable/24322132" TargetMode="External" /><Relationship Type="http://schemas.openxmlformats.org/officeDocument/2006/relationships/hyperlink" Id="rId71"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28"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5"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0" Target="mailto:elise.morrison@essie.ufl.edu" TargetMode="External" /><Relationship Type="http://schemas.openxmlformats.org/officeDocument/2006/relationships/hyperlink" Id="rId34" Target="mailto:esherwood@tbep.org" TargetMode="External" /><Relationship Type="http://schemas.openxmlformats.org/officeDocument/2006/relationships/hyperlink" Id="rId32"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29" Target="mailto:miles.medina@ufl.edu" TargetMode="External" /><Relationship Type="http://schemas.openxmlformats.org/officeDocument/2006/relationships/hyperlink" Id="rId37" Target="mailto:nijole.wellendorf@floridadep.org" TargetMode="External" /><Relationship Type="http://schemas.openxmlformats.org/officeDocument/2006/relationships/hyperlink" Id="rId31" Target="mailto:phlips@ufl.edu" TargetMode="External" /><Relationship Type="http://schemas.openxmlformats.org/officeDocument/2006/relationships/hyperlink" Id="rId33" Target="mailto:sscolaro@tbep.org" TargetMode="External" /><Relationship Type="http://schemas.openxmlformats.org/officeDocument/2006/relationships/hyperlink" Id="rId36" Target="mailto:weisberg@usf.edu" TargetMode="External" /><Relationship Type="http://schemas.openxmlformats.org/officeDocument/2006/relationships/hyperlink" Id="rId27"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nutrient-rich Piney Point release into Tampa Bay, Florida</dc:title>
  <dc:creator>Marcus W. Beck (mbeck@tbep.org), Andrew Altieri (andrew.altieri@essie.ufl.edu), Christine Angelini (christine.angelini@essie.ufl.edu), Maya C. Burke (mburke@tbep.org), Jing Chen (jchen15@usf.edu), Diana W. Chin (diwchin@gmail.com), Jayne Gardiner (jgardiner@ncf.edu),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Bob Weisberg (weisberg@usf.edu), Nijole Wellendorf (nijole.wellendorf@floridadep.org), Joe Whalen (jwhalen@tbep.org)</dc:creator>
  <cp:keywords/>
  <dcterms:created xsi:type="dcterms:W3CDTF">2021-12-01T16:45:04Z</dcterms:created>
  <dcterms:modified xsi:type="dcterms:W3CDTF">2021-12-01T16:45:04Z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